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BC" w:rsidRDefault="008C7FBC" w:rsidP="00DD3636">
      <w:pPr>
        <w:pStyle w:val="a3"/>
        <w:rPr>
          <w:b/>
        </w:rPr>
      </w:pPr>
      <w:bookmarkStart w:id="0" w:name="_GoBack"/>
      <w:bookmarkEnd w:id="0"/>
    </w:p>
    <w:p w:rsidR="008C7FBC" w:rsidRDefault="008C7FBC" w:rsidP="00DD3636">
      <w:pPr>
        <w:pStyle w:val="a3"/>
        <w:rPr>
          <w:b/>
        </w:rPr>
      </w:pPr>
    </w:p>
    <w:p w:rsidR="00DD3636" w:rsidRPr="00C43F0C" w:rsidRDefault="0061330A" w:rsidP="00DD3636">
      <w:pPr>
        <w:pStyle w:val="a3"/>
        <w:rPr>
          <w:b/>
        </w:rPr>
      </w:pPr>
      <w:r>
        <w:rPr>
          <w:b/>
        </w:rPr>
        <w:t>Информация о заключении</w:t>
      </w:r>
      <w:r w:rsidR="00DD3636" w:rsidRPr="00C43F0C">
        <w:rPr>
          <w:b/>
        </w:rPr>
        <w:br/>
        <w:t>счетной палаты Тульской области</w:t>
      </w:r>
      <w:r w:rsidR="00DD3636" w:rsidRPr="00C43F0C">
        <w:rPr>
          <w:b/>
        </w:rPr>
        <w:br/>
        <w:t>на отчет об исполнении бюджета Тульской области</w:t>
      </w:r>
      <w:r w:rsidR="00DD3636" w:rsidRPr="00C43F0C">
        <w:rPr>
          <w:b/>
        </w:rPr>
        <w:br/>
        <w:t>за первое полугодие 201</w:t>
      </w:r>
      <w:r w:rsidR="00C43F0C" w:rsidRPr="00C43F0C">
        <w:rPr>
          <w:b/>
        </w:rPr>
        <w:t>6</w:t>
      </w:r>
      <w:r w:rsidR="00DD3636" w:rsidRPr="00C43F0C">
        <w:rPr>
          <w:b/>
        </w:rPr>
        <w:t xml:space="preserve"> года</w:t>
      </w:r>
    </w:p>
    <w:p w:rsidR="00FF3434" w:rsidRPr="00C43F0C" w:rsidRDefault="00FF3434" w:rsidP="00DD3636">
      <w:pPr>
        <w:pStyle w:val="a3"/>
        <w:rPr>
          <w:b/>
          <w:highlight w:val="yellow"/>
        </w:rPr>
      </w:pPr>
    </w:p>
    <w:p w:rsidR="00FF3434" w:rsidRPr="00C43F0C" w:rsidRDefault="00FF3434" w:rsidP="00FF3434">
      <w:pPr>
        <w:ind w:firstLine="709"/>
        <w:jc w:val="both"/>
        <w:rPr>
          <w:spacing w:val="-4"/>
          <w:sz w:val="28"/>
          <w:szCs w:val="28"/>
        </w:rPr>
      </w:pPr>
      <w:r w:rsidRPr="00C43F0C">
        <w:rPr>
          <w:spacing w:val="-4"/>
          <w:sz w:val="28"/>
          <w:szCs w:val="28"/>
        </w:rPr>
        <w:t xml:space="preserve">Заключение подготовлено в соответствии со статьей 157 Бюджетного кодекса Российской Федерации и во исполнение статьи 29 Закона Тульской области от 09.06.2008 №1015-ЗТО «О бюджетном процессе в Тульской области», статьи 8 Закона Тульской области от 04.12.2008 №1147-ЗТО «О счетной палате Тульской области». </w:t>
      </w:r>
    </w:p>
    <w:p w:rsidR="00FF3434" w:rsidRPr="00C43F0C" w:rsidRDefault="00FF3434" w:rsidP="00FF3434">
      <w:pPr>
        <w:tabs>
          <w:tab w:val="left" w:pos="426"/>
          <w:tab w:val="num" w:pos="2181"/>
        </w:tabs>
        <w:spacing w:before="40"/>
        <w:ind w:firstLine="709"/>
        <w:jc w:val="both"/>
        <w:rPr>
          <w:spacing w:val="-4"/>
          <w:sz w:val="28"/>
          <w:szCs w:val="28"/>
        </w:rPr>
      </w:pPr>
      <w:r w:rsidRPr="00C43F0C">
        <w:rPr>
          <w:spacing w:val="-4"/>
          <w:sz w:val="28"/>
          <w:szCs w:val="28"/>
        </w:rPr>
        <w:t xml:space="preserve">При подготовке настоящего заключения использованы отчеты Управления Федеральной налоговой службы России по Тульской области </w:t>
      </w:r>
      <w:r w:rsidR="008B4E7F" w:rsidRPr="00C43F0C">
        <w:rPr>
          <w:spacing w:val="-4"/>
          <w:sz w:val="28"/>
          <w:szCs w:val="28"/>
        </w:rPr>
        <w:t>(далее – УФНС</w:t>
      </w:r>
      <w:r w:rsidR="008B4E7F">
        <w:rPr>
          <w:spacing w:val="-4"/>
          <w:sz w:val="28"/>
          <w:szCs w:val="28"/>
        </w:rPr>
        <w:t xml:space="preserve"> по Тульской области</w:t>
      </w:r>
      <w:r w:rsidR="008B4E7F" w:rsidRPr="00C43F0C">
        <w:rPr>
          <w:spacing w:val="-4"/>
          <w:sz w:val="28"/>
          <w:szCs w:val="28"/>
        </w:rPr>
        <w:t xml:space="preserve">) </w:t>
      </w:r>
      <w:r w:rsidRPr="00C43F0C">
        <w:rPr>
          <w:spacing w:val="-4"/>
          <w:sz w:val="28"/>
          <w:szCs w:val="28"/>
        </w:rPr>
        <w:t xml:space="preserve">о </w:t>
      </w:r>
      <w:r w:rsidR="00D564FD">
        <w:rPr>
          <w:spacing w:val="-4"/>
          <w:sz w:val="28"/>
          <w:szCs w:val="28"/>
        </w:rPr>
        <w:t xml:space="preserve">начислении и </w:t>
      </w:r>
      <w:r w:rsidRPr="00C43F0C">
        <w:rPr>
          <w:spacing w:val="-4"/>
          <w:sz w:val="28"/>
          <w:szCs w:val="28"/>
        </w:rPr>
        <w:t xml:space="preserve">поступлении </w:t>
      </w:r>
      <w:r w:rsidR="00D564FD">
        <w:rPr>
          <w:spacing w:val="-4"/>
          <w:sz w:val="28"/>
          <w:szCs w:val="28"/>
        </w:rPr>
        <w:t xml:space="preserve">налогов в бюджетную систему </w:t>
      </w:r>
      <w:r w:rsidRPr="00C43F0C">
        <w:rPr>
          <w:spacing w:val="-4"/>
          <w:sz w:val="28"/>
          <w:szCs w:val="28"/>
        </w:rPr>
        <w:t>(форма №1-НМ)</w:t>
      </w:r>
      <w:r w:rsidR="00D564FD">
        <w:rPr>
          <w:spacing w:val="-4"/>
          <w:sz w:val="28"/>
          <w:szCs w:val="28"/>
        </w:rPr>
        <w:t>, а также о</w:t>
      </w:r>
      <w:r w:rsidRPr="00C43F0C">
        <w:rPr>
          <w:spacing w:val="-4"/>
          <w:sz w:val="28"/>
          <w:szCs w:val="28"/>
        </w:rPr>
        <w:t xml:space="preserve"> задолженности по налогам, сборам и иным обязательным платежам (форма №4-НМ) по состоянию на 01.07.201</w:t>
      </w:r>
      <w:r w:rsidR="00C43F0C" w:rsidRPr="00C43F0C">
        <w:rPr>
          <w:spacing w:val="-4"/>
          <w:sz w:val="28"/>
          <w:szCs w:val="28"/>
        </w:rPr>
        <w:t>6</w:t>
      </w:r>
      <w:r w:rsidR="00D564FD">
        <w:rPr>
          <w:spacing w:val="-4"/>
          <w:sz w:val="28"/>
          <w:szCs w:val="28"/>
        </w:rPr>
        <w:t>;</w:t>
      </w:r>
      <w:r w:rsidRPr="00C43F0C">
        <w:rPr>
          <w:spacing w:val="-4"/>
          <w:sz w:val="28"/>
          <w:szCs w:val="28"/>
        </w:rPr>
        <w:t xml:space="preserve"> статистическ</w:t>
      </w:r>
      <w:r w:rsidR="00D564FD">
        <w:rPr>
          <w:spacing w:val="-4"/>
          <w:sz w:val="28"/>
          <w:szCs w:val="28"/>
        </w:rPr>
        <w:t>ая</w:t>
      </w:r>
      <w:r w:rsidRPr="00C43F0C">
        <w:rPr>
          <w:spacing w:val="-4"/>
          <w:sz w:val="28"/>
          <w:szCs w:val="28"/>
        </w:rPr>
        <w:t xml:space="preserve"> отчетност</w:t>
      </w:r>
      <w:r w:rsidR="00D564FD">
        <w:rPr>
          <w:spacing w:val="-4"/>
          <w:sz w:val="28"/>
          <w:szCs w:val="28"/>
        </w:rPr>
        <w:t>ь</w:t>
      </w:r>
      <w:r w:rsidRPr="00C43F0C">
        <w:rPr>
          <w:spacing w:val="-4"/>
          <w:sz w:val="28"/>
          <w:szCs w:val="28"/>
        </w:rPr>
        <w:t xml:space="preserve"> за первое полугодие 201</w:t>
      </w:r>
      <w:r w:rsidR="00C43F0C" w:rsidRPr="00C43F0C">
        <w:rPr>
          <w:spacing w:val="-4"/>
          <w:sz w:val="28"/>
          <w:szCs w:val="28"/>
        </w:rPr>
        <w:t>6</w:t>
      </w:r>
      <w:r w:rsidRPr="00C43F0C">
        <w:rPr>
          <w:spacing w:val="-4"/>
          <w:sz w:val="28"/>
          <w:szCs w:val="28"/>
        </w:rPr>
        <w:t xml:space="preserve"> года территориального органа Федеральной службы государственной статистики по Тульской области (далее – Туластат).</w:t>
      </w:r>
    </w:p>
    <w:p w:rsidR="00FF3434" w:rsidRPr="00C43F0C" w:rsidRDefault="00FF3434" w:rsidP="00FF3434">
      <w:pPr>
        <w:tabs>
          <w:tab w:val="num" w:pos="0"/>
        </w:tabs>
        <w:spacing w:before="120"/>
        <w:ind w:firstLine="709"/>
        <w:jc w:val="both"/>
        <w:rPr>
          <w:spacing w:val="-4"/>
          <w:sz w:val="28"/>
          <w:szCs w:val="28"/>
        </w:rPr>
      </w:pPr>
      <w:r w:rsidRPr="00C43F0C">
        <w:rPr>
          <w:spacing w:val="-4"/>
          <w:sz w:val="28"/>
          <w:szCs w:val="28"/>
        </w:rPr>
        <w:t>Проанализировав в рамках своих полномочий Отчет, счетная палата отмечает следующее.</w:t>
      </w:r>
    </w:p>
    <w:p w:rsidR="008E3D2F" w:rsidRPr="006376F9" w:rsidRDefault="008E3D2F" w:rsidP="008E3D2F">
      <w:pPr>
        <w:pStyle w:val="aff"/>
        <w:numPr>
          <w:ilvl w:val="0"/>
          <w:numId w:val="31"/>
        </w:numPr>
        <w:tabs>
          <w:tab w:val="left" w:pos="709"/>
          <w:tab w:val="left" w:pos="993"/>
        </w:tabs>
        <w:spacing w:before="100"/>
        <w:ind w:left="0" w:firstLine="709"/>
        <w:jc w:val="both"/>
        <w:rPr>
          <w:sz w:val="28"/>
          <w:szCs w:val="28"/>
        </w:rPr>
      </w:pPr>
      <w:r>
        <w:rPr>
          <w:spacing w:val="-4"/>
          <w:sz w:val="28"/>
          <w:szCs w:val="28"/>
        </w:rPr>
        <w:t xml:space="preserve">В Закон о бюджете Тульской области на 2016 год в первом </w:t>
      </w:r>
      <w:r w:rsidR="001B2FED">
        <w:rPr>
          <w:spacing w:val="-4"/>
          <w:sz w:val="28"/>
          <w:szCs w:val="28"/>
        </w:rPr>
        <w:t>полугодии</w:t>
      </w:r>
      <w:r>
        <w:rPr>
          <w:spacing w:val="-4"/>
          <w:sz w:val="28"/>
          <w:szCs w:val="28"/>
        </w:rPr>
        <w:t xml:space="preserve"> 2016 года были внесены изменения (Законы Тульской области от 26.02.2016 № 15-ЗТО и от 27.05.2016 №37-ЗТО). Основные параметры бюджета </w:t>
      </w:r>
      <w:r w:rsidR="001B2FED">
        <w:rPr>
          <w:spacing w:val="-4"/>
          <w:sz w:val="28"/>
          <w:szCs w:val="28"/>
        </w:rPr>
        <w:t xml:space="preserve">области </w:t>
      </w:r>
      <w:r>
        <w:rPr>
          <w:spacing w:val="-4"/>
          <w:sz w:val="28"/>
          <w:szCs w:val="28"/>
        </w:rPr>
        <w:t xml:space="preserve">на </w:t>
      </w:r>
      <w:r w:rsidRPr="006376F9">
        <w:rPr>
          <w:sz w:val="28"/>
          <w:szCs w:val="28"/>
        </w:rPr>
        <w:t>2016 год увеличены и составили:</w:t>
      </w:r>
    </w:p>
    <w:p w:rsidR="008E3D2F" w:rsidRPr="006376F9" w:rsidRDefault="008E3D2F" w:rsidP="008E3D2F">
      <w:pPr>
        <w:pStyle w:val="a3"/>
        <w:numPr>
          <w:ilvl w:val="0"/>
          <w:numId w:val="32"/>
        </w:numPr>
        <w:tabs>
          <w:tab w:val="left" w:pos="0"/>
          <w:tab w:val="left" w:pos="142"/>
          <w:tab w:val="left" w:pos="284"/>
        </w:tabs>
        <w:ind w:left="0" w:firstLine="0"/>
        <w:jc w:val="both"/>
        <w:rPr>
          <w:szCs w:val="28"/>
        </w:rPr>
      </w:pPr>
      <w:r w:rsidRPr="006376F9">
        <w:rPr>
          <w:szCs w:val="28"/>
        </w:rPr>
        <w:t xml:space="preserve">по доходам </w:t>
      </w:r>
      <w:r w:rsidR="001B2FED" w:rsidRPr="006376F9">
        <w:t>–</w:t>
      </w:r>
      <w:r w:rsidRPr="006376F9">
        <w:t xml:space="preserve"> </w:t>
      </w:r>
      <w:r w:rsidRPr="006376F9">
        <w:rPr>
          <w:rFonts w:eastAsia="Calibri"/>
          <w:szCs w:val="28"/>
        </w:rPr>
        <w:t>62 145 991,5</w:t>
      </w:r>
      <w:r w:rsidRPr="006376F9">
        <w:rPr>
          <w:szCs w:val="28"/>
        </w:rPr>
        <w:t> </w:t>
      </w:r>
      <w:r w:rsidRPr="006376F9">
        <w:t>тыс. рублей (</w:t>
      </w:r>
      <w:r w:rsidR="001B2FED" w:rsidRPr="006376F9">
        <w:t xml:space="preserve">увеличены </w:t>
      </w:r>
      <w:r w:rsidR="00D936FE" w:rsidRPr="006376F9">
        <w:t xml:space="preserve">на 2 361 765,8 </w:t>
      </w:r>
      <w:r w:rsidRPr="006376F9">
        <w:t>тыс.</w:t>
      </w:r>
      <w:r w:rsidR="00D936FE" w:rsidRPr="006376F9">
        <w:t> </w:t>
      </w:r>
      <w:r w:rsidRPr="006376F9">
        <w:t>рублей, или на 4% относительно первоначально утвержденного показателя)</w:t>
      </w:r>
      <w:r w:rsidRPr="006376F9">
        <w:rPr>
          <w:szCs w:val="28"/>
        </w:rPr>
        <w:t>;</w:t>
      </w:r>
    </w:p>
    <w:p w:rsidR="008E3D2F" w:rsidRPr="006376F9" w:rsidRDefault="008E3D2F" w:rsidP="008E3D2F">
      <w:pPr>
        <w:pStyle w:val="a7"/>
        <w:numPr>
          <w:ilvl w:val="0"/>
          <w:numId w:val="32"/>
        </w:numPr>
        <w:tabs>
          <w:tab w:val="left" w:pos="0"/>
          <w:tab w:val="left" w:pos="142"/>
          <w:tab w:val="left" w:pos="284"/>
        </w:tabs>
        <w:spacing w:after="0"/>
        <w:ind w:left="0" w:firstLine="0"/>
        <w:jc w:val="both"/>
        <w:rPr>
          <w:sz w:val="28"/>
          <w:szCs w:val="28"/>
        </w:rPr>
      </w:pPr>
      <w:r w:rsidRPr="006376F9">
        <w:rPr>
          <w:sz w:val="28"/>
          <w:szCs w:val="28"/>
        </w:rPr>
        <w:t xml:space="preserve">по расходам </w:t>
      </w:r>
      <w:r w:rsidR="001B2FED" w:rsidRPr="006376F9">
        <w:rPr>
          <w:sz w:val="28"/>
          <w:szCs w:val="28"/>
        </w:rPr>
        <w:t>–</w:t>
      </w:r>
      <w:r w:rsidRPr="006376F9">
        <w:rPr>
          <w:sz w:val="28"/>
          <w:szCs w:val="28"/>
        </w:rPr>
        <w:t xml:space="preserve"> </w:t>
      </w:r>
      <w:r w:rsidRPr="006376F9">
        <w:rPr>
          <w:rFonts w:eastAsia="Calibri"/>
          <w:sz w:val="28"/>
          <w:szCs w:val="28"/>
        </w:rPr>
        <w:t>66 072 434,0</w:t>
      </w:r>
      <w:r w:rsidRPr="006376F9">
        <w:rPr>
          <w:sz w:val="28"/>
          <w:szCs w:val="28"/>
        </w:rPr>
        <w:t> тыс. рублей (</w:t>
      </w:r>
      <w:r w:rsidR="001B2FED" w:rsidRPr="006376F9">
        <w:rPr>
          <w:sz w:val="28"/>
          <w:szCs w:val="28"/>
        </w:rPr>
        <w:t xml:space="preserve">увеличены </w:t>
      </w:r>
      <w:r w:rsidRPr="006376F9">
        <w:rPr>
          <w:sz w:val="28"/>
          <w:szCs w:val="28"/>
        </w:rPr>
        <w:t>на 2 801 705,4</w:t>
      </w:r>
      <w:r w:rsidR="00D936FE" w:rsidRPr="006376F9">
        <w:t xml:space="preserve"> </w:t>
      </w:r>
      <w:r w:rsidRPr="006376F9">
        <w:rPr>
          <w:sz w:val="28"/>
          <w:szCs w:val="28"/>
        </w:rPr>
        <w:t>тыс.</w:t>
      </w:r>
      <w:r w:rsidR="00D936FE" w:rsidRPr="006376F9">
        <w:rPr>
          <w:sz w:val="28"/>
          <w:szCs w:val="28"/>
        </w:rPr>
        <w:t> </w:t>
      </w:r>
      <w:r w:rsidRPr="006376F9">
        <w:rPr>
          <w:sz w:val="28"/>
          <w:szCs w:val="28"/>
        </w:rPr>
        <w:t>рублей, или на 4,4%);</w:t>
      </w:r>
    </w:p>
    <w:p w:rsidR="008E3D2F" w:rsidRPr="006376F9" w:rsidRDefault="008E3D2F" w:rsidP="008E3D2F">
      <w:pPr>
        <w:tabs>
          <w:tab w:val="left" w:pos="284"/>
        </w:tabs>
        <w:autoSpaceDE w:val="0"/>
        <w:autoSpaceDN w:val="0"/>
        <w:adjustRightInd w:val="0"/>
        <w:jc w:val="both"/>
        <w:rPr>
          <w:sz w:val="28"/>
          <w:szCs w:val="28"/>
        </w:rPr>
      </w:pPr>
      <w:r w:rsidRPr="006376F9">
        <w:rPr>
          <w:sz w:val="28"/>
          <w:szCs w:val="28"/>
        </w:rPr>
        <w:t>–</w:t>
      </w:r>
      <w:r w:rsidRPr="006376F9">
        <w:rPr>
          <w:sz w:val="28"/>
          <w:szCs w:val="28"/>
        </w:rPr>
        <w:tab/>
        <w:t xml:space="preserve">дефицит </w:t>
      </w:r>
      <w:r w:rsidR="001B2FED" w:rsidRPr="006376F9">
        <w:rPr>
          <w:sz w:val="28"/>
          <w:szCs w:val="28"/>
        </w:rPr>
        <w:t>–</w:t>
      </w:r>
      <w:r w:rsidRPr="006376F9">
        <w:rPr>
          <w:sz w:val="28"/>
          <w:szCs w:val="28"/>
        </w:rPr>
        <w:t xml:space="preserve"> </w:t>
      </w:r>
      <w:r w:rsidRPr="006376F9">
        <w:rPr>
          <w:rFonts w:eastAsia="Calibri"/>
          <w:sz w:val="28"/>
          <w:szCs w:val="28"/>
        </w:rPr>
        <w:t>3 926 442,5</w:t>
      </w:r>
      <w:r w:rsidRPr="006376F9">
        <w:rPr>
          <w:sz w:val="28"/>
          <w:szCs w:val="28"/>
        </w:rPr>
        <w:t> тыс. рублей</w:t>
      </w:r>
      <w:r w:rsidR="00634BEC" w:rsidRPr="006376F9">
        <w:rPr>
          <w:sz w:val="28"/>
          <w:szCs w:val="28"/>
        </w:rPr>
        <w:t>, или 7,8</w:t>
      </w:r>
      <w:r w:rsidR="00634BEC" w:rsidRPr="006376F9">
        <w:rPr>
          <w:color w:val="000000"/>
          <w:sz w:val="28"/>
          <w:szCs w:val="28"/>
        </w:rPr>
        <w:t>%</w:t>
      </w:r>
      <w:r w:rsidR="00634BEC" w:rsidRPr="006376F9">
        <w:rPr>
          <w:b/>
          <w:color w:val="000000"/>
          <w:sz w:val="28"/>
          <w:szCs w:val="28"/>
        </w:rPr>
        <w:t xml:space="preserve"> </w:t>
      </w:r>
      <w:r w:rsidR="00634BEC" w:rsidRPr="006376F9">
        <w:rPr>
          <w:sz w:val="28"/>
          <w:szCs w:val="28"/>
        </w:rPr>
        <w:t xml:space="preserve">к объему доходов бюджета области без учета утвержденного объема безвозмездных поступлений </w:t>
      </w:r>
      <w:r w:rsidRPr="006376F9">
        <w:rPr>
          <w:sz w:val="28"/>
          <w:szCs w:val="28"/>
        </w:rPr>
        <w:t>(</w:t>
      </w:r>
      <w:r w:rsidR="00634BEC" w:rsidRPr="006376F9">
        <w:rPr>
          <w:sz w:val="28"/>
          <w:szCs w:val="28"/>
        </w:rPr>
        <w:t xml:space="preserve">в абсолютном выражении дефицит увеличен </w:t>
      </w:r>
      <w:r w:rsidRPr="006376F9">
        <w:rPr>
          <w:sz w:val="28"/>
          <w:szCs w:val="28"/>
        </w:rPr>
        <w:t>на 439 939,6</w:t>
      </w:r>
      <w:r w:rsidR="00D936FE" w:rsidRPr="006376F9">
        <w:rPr>
          <w:sz w:val="28"/>
          <w:szCs w:val="28"/>
        </w:rPr>
        <w:t xml:space="preserve"> </w:t>
      </w:r>
      <w:r w:rsidRPr="006376F9">
        <w:rPr>
          <w:sz w:val="28"/>
          <w:szCs w:val="28"/>
        </w:rPr>
        <w:t xml:space="preserve">тыс. рублей, </w:t>
      </w:r>
      <w:r w:rsidR="00634BEC" w:rsidRPr="006376F9">
        <w:rPr>
          <w:sz w:val="28"/>
          <w:szCs w:val="28"/>
        </w:rPr>
        <w:t xml:space="preserve">в относительном – </w:t>
      </w:r>
      <w:r w:rsidRPr="006376F9">
        <w:rPr>
          <w:sz w:val="28"/>
          <w:szCs w:val="28"/>
        </w:rPr>
        <w:t>на 12,6%)</w:t>
      </w:r>
      <w:r w:rsidR="00634BEC" w:rsidRPr="006376F9">
        <w:rPr>
          <w:sz w:val="28"/>
          <w:szCs w:val="28"/>
        </w:rPr>
        <w:t>.</w:t>
      </w:r>
      <w:r w:rsidRPr="006376F9">
        <w:rPr>
          <w:sz w:val="28"/>
          <w:szCs w:val="28"/>
        </w:rPr>
        <w:t xml:space="preserve"> </w:t>
      </w:r>
    </w:p>
    <w:p w:rsidR="008E3D2F" w:rsidRDefault="008E3D2F" w:rsidP="008E3D2F">
      <w:pPr>
        <w:pStyle w:val="aff"/>
        <w:numPr>
          <w:ilvl w:val="0"/>
          <w:numId w:val="31"/>
        </w:numPr>
        <w:tabs>
          <w:tab w:val="left" w:pos="993"/>
        </w:tabs>
        <w:spacing w:before="120"/>
        <w:ind w:left="0" w:firstLine="709"/>
        <w:jc w:val="both"/>
        <w:rPr>
          <w:spacing w:val="-4"/>
          <w:sz w:val="28"/>
          <w:szCs w:val="28"/>
        </w:rPr>
      </w:pPr>
      <w:r>
        <w:rPr>
          <w:spacing w:val="-4"/>
          <w:sz w:val="28"/>
          <w:szCs w:val="28"/>
        </w:rPr>
        <w:t xml:space="preserve">По состоянию на 01.07.2016 </w:t>
      </w:r>
      <w:r>
        <w:rPr>
          <w:i/>
          <w:spacing w:val="-4"/>
          <w:sz w:val="28"/>
          <w:szCs w:val="28"/>
        </w:rPr>
        <w:t>консолидированный бюджет Тульской области</w:t>
      </w:r>
      <w:r>
        <w:rPr>
          <w:spacing w:val="-4"/>
          <w:sz w:val="28"/>
          <w:szCs w:val="28"/>
        </w:rPr>
        <w:t xml:space="preserve"> исполнен по доходам в сумме 35 041 849,8 тыс. рублей (45,7% от плановых назначений); по расходам в сумме 35 621 722,1 тыс. рублей (42,9% от плановых назначений). В первом полугодии текущего года консолидированный бюджет Тульской области исполнен с превышением расходов над доходами (дефицитом) в сумме 579 872,3 тыс. рублей (1,9% к объему доходов бюджета области без учета утвержденного объема безвозмездных поступлений).</w:t>
      </w:r>
    </w:p>
    <w:p w:rsidR="008E3D2F" w:rsidRDefault="00C536BD" w:rsidP="00C536BD">
      <w:pPr>
        <w:pStyle w:val="aff"/>
        <w:tabs>
          <w:tab w:val="left" w:pos="993"/>
        </w:tabs>
        <w:spacing w:before="120"/>
        <w:ind w:left="0" w:firstLine="709"/>
        <w:jc w:val="both"/>
        <w:rPr>
          <w:spacing w:val="-4"/>
          <w:sz w:val="28"/>
          <w:szCs w:val="28"/>
        </w:rPr>
      </w:pPr>
      <w:r w:rsidRPr="00C536BD">
        <w:rPr>
          <w:i/>
          <w:spacing w:val="-4"/>
          <w:sz w:val="28"/>
          <w:szCs w:val="28"/>
        </w:rPr>
        <w:lastRenderedPageBreak/>
        <w:t>Б</w:t>
      </w:r>
      <w:r w:rsidR="008E3D2F" w:rsidRPr="00C536BD">
        <w:rPr>
          <w:i/>
          <w:spacing w:val="-4"/>
          <w:sz w:val="28"/>
          <w:szCs w:val="28"/>
        </w:rPr>
        <w:t>ю</w:t>
      </w:r>
      <w:r w:rsidR="008E3D2F">
        <w:rPr>
          <w:i/>
          <w:spacing w:val="-4"/>
          <w:sz w:val="28"/>
          <w:szCs w:val="28"/>
        </w:rPr>
        <w:t>джет Тульской области</w:t>
      </w:r>
      <w:r w:rsidR="008E3D2F">
        <w:rPr>
          <w:spacing w:val="-4"/>
          <w:sz w:val="28"/>
          <w:szCs w:val="28"/>
        </w:rPr>
        <w:t xml:space="preserve"> за первое полугодие 2016 года исполнен по доходам в сумме 28 979 978,9 тыс. рублей (46,6% от объема доходов, утвержденного на 2016 год); по расходам в сумме 29 524 951,0 тыс. рублей (44,7% от объема расходов, утвержденного на 2016 год). По состоянию на 01.07.2016 превышение расходов над доходами (дефицит бюджета) составило 544 972,1 тыс. рублей (2,4% к объему доходов бюджета области без учета утвержденного объема безвозмездных поступлений).</w:t>
      </w:r>
    </w:p>
    <w:p w:rsidR="008E3D2F" w:rsidRDefault="00C536BD" w:rsidP="00C536BD">
      <w:pPr>
        <w:tabs>
          <w:tab w:val="left" w:pos="993"/>
        </w:tabs>
        <w:spacing w:before="120"/>
        <w:ind w:firstLine="709"/>
        <w:jc w:val="both"/>
        <w:rPr>
          <w:sz w:val="28"/>
          <w:szCs w:val="28"/>
        </w:rPr>
      </w:pPr>
      <w:r>
        <w:rPr>
          <w:spacing w:val="-4"/>
          <w:sz w:val="28"/>
          <w:szCs w:val="28"/>
        </w:rPr>
        <w:t>3</w:t>
      </w:r>
      <w:r w:rsidR="008E3D2F">
        <w:rPr>
          <w:spacing w:val="-4"/>
          <w:sz w:val="28"/>
          <w:szCs w:val="28"/>
        </w:rPr>
        <w:t>.</w:t>
      </w:r>
      <w:r w:rsidR="008E3D2F">
        <w:rPr>
          <w:spacing w:val="-4"/>
          <w:sz w:val="28"/>
          <w:szCs w:val="28"/>
        </w:rPr>
        <w:tab/>
        <w:t>В первом полугодии 2016 года в доходы бюджета Тульской области поступило налоговых и неналоговых доходов в объеме 23 174 435,0</w:t>
      </w:r>
      <w:r>
        <w:rPr>
          <w:spacing w:val="-4"/>
          <w:sz w:val="28"/>
          <w:szCs w:val="28"/>
        </w:rPr>
        <w:t xml:space="preserve"> </w:t>
      </w:r>
      <w:r w:rsidR="008E3D2F">
        <w:rPr>
          <w:spacing w:val="-4"/>
          <w:sz w:val="28"/>
          <w:szCs w:val="28"/>
        </w:rPr>
        <w:t xml:space="preserve">тыс. рублей, что составляет 46,3% к прогнозу поступлений 2016 года. По сравнению с соответствующим периодом прошлого года поступления налоговых и неналоговых доходов в целом </w:t>
      </w:r>
      <w:r w:rsidR="008E3D2F">
        <w:rPr>
          <w:sz w:val="28"/>
          <w:szCs w:val="28"/>
        </w:rPr>
        <w:t>уменьшились на 1 552 507,5 тыс. рублей, или на 6,3%, в основном за счет значительного снижения поступлений по налогу на прибыль организаций.</w:t>
      </w:r>
    </w:p>
    <w:p w:rsidR="008E3D2F" w:rsidRDefault="008E3D2F" w:rsidP="00C536BD">
      <w:pPr>
        <w:tabs>
          <w:tab w:val="left" w:pos="993"/>
        </w:tabs>
        <w:ind w:firstLine="709"/>
        <w:jc w:val="both"/>
        <w:rPr>
          <w:sz w:val="28"/>
          <w:szCs w:val="28"/>
        </w:rPr>
      </w:pPr>
      <w:r>
        <w:rPr>
          <w:sz w:val="28"/>
          <w:szCs w:val="28"/>
        </w:rPr>
        <w:t>В отчетном периоде по 14-ти подстатьям доходов поступления превысили годовые прогнозные показатели на общую сумму 6 231,0 тыс.</w:t>
      </w:r>
      <w:r w:rsidR="00D936FE">
        <w:rPr>
          <w:sz w:val="28"/>
          <w:szCs w:val="28"/>
        </w:rPr>
        <w:t> </w:t>
      </w:r>
      <w:r>
        <w:rPr>
          <w:sz w:val="28"/>
          <w:szCs w:val="28"/>
        </w:rPr>
        <w:t>рублей, что следует учесть при последующем внесении изменений в Закон о бюджете Тульской области на 2016 год.</w:t>
      </w:r>
    </w:p>
    <w:p w:rsidR="008E3D2F" w:rsidRPr="00C536BD" w:rsidRDefault="008E3D2F" w:rsidP="00820559">
      <w:pPr>
        <w:pStyle w:val="aff"/>
        <w:numPr>
          <w:ilvl w:val="0"/>
          <w:numId w:val="34"/>
        </w:numPr>
        <w:tabs>
          <w:tab w:val="left" w:pos="851"/>
          <w:tab w:val="left" w:pos="993"/>
        </w:tabs>
        <w:spacing w:before="120"/>
        <w:ind w:left="0" w:firstLine="709"/>
        <w:contextualSpacing w:val="0"/>
        <w:jc w:val="both"/>
        <w:rPr>
          <w:spacing w:val="-4"/>
          <w:sz w:val="28"/>
          <w:szCs w:val="28"/>
        </w:rPr>
      </w:pPr>
      <w:r w:rsidRPr="00C536BD">
        <w:rPr>
          <w:sz w:val="28"/>
          <w:szCs w:val="28"/>
        </w:rPr>
        <w:t xml:space="preserve">Объем безвозмездных поступлений в бюджет Тульской области в первом полугодии 2016 года составил </w:t>
      </w:r>
      <w:r w:rsidRPr="00C536BD">
        <w:rPr>
          <w:spacing w:val="-4"/>
          <w:sz w:val="28"/>
          <w:szCs w:val="28"/>
        </w:rPr>
        <w:t xml:space="preserve">5 805 543,9 </w:t>
      </w:r>
      <w:r w:rsidRPr="00C536BD">
        <w:rPr>
          <w:sz w:val="28"/>
          <w:szCs w:val="28"/>
        </w:rPr>
        <w:t xml:space="preserve">тыс. рублей (47,9% к </w:t>
      </w:r>
      <w:r w:rsidRPr="00C536BD">
        <w:rPr>
          <w:spacing w:val="-4"/>
          <w:sz w:val="28"/>
          <w:szCs w:val="28"/>
        </w:rPr>
        <w:t>утвержденному показателю 2016 года)</w:t>
      </w:r>
      <w:r w:rsidR="00C536BD" w:rsidRPr="00C536BD">
        <w:rPr>
          <w:spacing w:val="-4"/>
          <w:sz w:val="28"/>
          <w:szCs w:val="28"/>
        </w:rPr>
        <w:t xml:space="preserve">. </w:t>
      </w:r>
      <w:r w:rsidR="00C536BD" w:rsidRPr="00C536BD">
        <w:rPr>
          <w:sz w:val="28"/>
          <w:szCs w:val="28"/>
        </w:rPr>
        <w:t xml:space="preserve">По сравнению с аналогичным периодом прошлого года объем безвозмездных поступлений в целом </w:t>
      </w:r>
      <w:r w:rsidR="00C536BD" w:rsidRPr="00C536BD">
        <w:rPr>
          <w:spacing w:val="-2"/>
          <w:sz w:val="28"/>
          <w:szCs w:val="28"/>
        </w:rPr>
        <w:t>уменьшился</w:t>
      </w:r>
      <w:r w:rsidR="00C536BD" w:rsidRPr="00C536BD">
        <w:rPr>
          <w:sz w:val="28"/>
          <w:szCs w:val="28"/>
        </w:rPr>
        <w:t xml:space="preserve"> на </w:t>
      </w:r>
      <w:r w:rsidR="00C536BD" w:rsidRPr="00C536BD">
        <w:rPr>
          <w:spacing w:val="-4"/>
          <w:sz w:val="28"/>
          <w:szCs w:val="28"/>
        </w:rPr>
        <w:t xml:space="preserve">1 440 366,4 </w:t>
      </w:r>
      <w:r w:rsidR="00C536BD" w:rsidRPr="00C536BD">
        <w:rPr>
          <w:sz w:val="28"/>
          <w:szCs w:val="28"/>
        </w:rPr>
        <w:t xml:space="preserve">тыс. рублей, или на 19,9%. </w:t>
      </w:r>
      <w:r w:rsidR="00C536BD" w:rsidRPr="00C536BD">
        <w:rPr>
          <w:spacing w:val="-4"/>
          <w:sz w:val="28"/>
          <w:szCs w:val="28"/>
        </w:rPr>
        <w:t xml:space="preserve">В общем объеме доходов бюджета Тульской области доля безвозмездных поступлений составила 20%, что ниже показателя соответствующего периода 2015 года на 2,7 процентного пункта. </w:t>
      </w:r>
      <w:r w:rsidR="00C536BD">
        <w:rPr>
          <w:spacing w:val="-4"/>
          <w:sz w:val="28"/>
          <w:szCs w:val="28"/>
        </w:rPr>
        <w:t>И</w:t>
      </w:r>
      <w:r w:rsidRPr="00C536BD">
        <w:rPr>
          <w:spacing w:val="-4"/>
          <w:sz w:val="28"/>
          <w:szCs w:val="28"/>
        </w:rPr>
        <w:t xml:space="preserve">з федерального бюджета </w:t>
      </w:r>
      <w:r w:rsidR="00C536BD">
        <w:rPr>
          <w:spacing w:val="-4"/>
          <w:sz w:val="28"/>
          <w:szCs w:val="28"/>
        </w:rPr>
        <w:t xml:space="preserve">в бюджет области в первом полугодии поступило </w:t>
      </w:r>
      <w:r w:rsidRPr="00C536BD">
        <w:rPr>
          <w:sz w:val="28"/>
          <w:szCs w:val="28"/>
        </w:rPr>
        <w:t xml:space="preserve">4 844 902,7 </w:t>
      </w:r>
      <w:r w:rsidRPr="00C536BD">
        <w:rPr>
          <w:spacing w:val="-4"/>
          <w:sz w:val="28"/>
          <w:szCs w:val="28"/>
        </w:rPr>
        <w:t>тыс. рублей, что на 1 089 594,2 тыс. рублей (на 18,4%) меньше, чем за аналогичный период 2015 года. Объем дотаций сократился на 121 480,0 тыс.</w:t>
      </w:r>
      <w:r w:rsidR="00D936FE">
        <w:rPr>
          <w:spacing w:val="-4"/>
          <w:sz w:val="28"/>
          <w:szCs w:val="28"/>
        </w:rPr>
        <w:t> </w:t>
      </w:r>
      <w:r w:rsidRPr="00C536BD">
        <w:rPr>
          <w:spacing w:val="-4"/>
          <w:sz w:val="28"/>
          <w:szCs w:val="28"/>
        </w:rPr>
        <w:t>рублей (на 12,6%), субвенций – на 685 647,2 тыс. рублей (на 18,8%), иных межбюджетных трансфертов – на 455 </w:t>
      </w:r>
      <w:r w:rsidRPr="00C536BD">
        <w:rPr>
          <w:spacing w:val="-10"/>
          <w:sz w:val="28"/>
          <w:szCs w:val="28"/>
        </w:rPr>
        <w:t>467</w:t>
      </w:r>
      <w:r w:rsidRPr="00C536BD">
        <w:rPr>
          <w:spacing w:val="-4"/>
          <w:sz w:val="28"/>
          <w:szCs w:val="28"/>
        </w:rPr>
        <w:t xml:space="preserve">,9 тыс. рублей (на 69,9%); </w:t>
      </w:r>
      <w:r w:rsidR="00C536BD" w:rsidRPr="00C536BD">
        <w:rPr>
          <w:spacing w:val="-4"/>
          <w:sz w:val="28"/>
          <w:szCs w:val="28"/>
        </w:rPr>
        <w:t xml:space="preserve">объем субсидий </w:t>
      </w:r>
      <w:r w:rsidRPr="00C536BD">
        <w:rPr>
          <w:spacing w:val="-4"/>
          <w:sz w:val="28"/>
          <w:szCs w:val="28"/>
        </w:rPr>
        <w:t xml:space="preserve">увеличился на 173 000,9 тыс. рублей (на 25,4%). </w:t>
      </w:r>
    </w:p>
    <w:p w:rsidR="008E3D2F" w:rsidRDefault="00C536BD" w:rsidP="008E3D2F">
      <w:pPr>
        <w:pStyle w:val="31"/>
        <w:tabs>
          <w:tab w:val="left" w:pos="993"/>
        </w:tabs>
        <w:spacing w:before="120" w:after="0"/>
        <w:ind w:left="0" w:firstLine="709"/>
        <w:jc w:val="both"/>
        <w:rPr>
          <w:sz w:val="28"/>
          <w:szCs w:val="28"/>
        </w:rPr>
      </w:pPr>
      <w:r>
        <w:rPr>
          <w:sz w:val="28"/>
          <w:szCs w:val="28"/>
        </w:rPr>
        <w:t>5</w:t>
      </w:r>
      <w:r w:rsidR="008E3D2F">
        <w:rPr>
          <w:sz w:val="28"/>
          <w:szCs w:val="28"/>
        </w:rPr>
        <w:t>.</w:t>
      </w:r>
      <w:r w:rsidR="008E3D2F">
        <w:rPr>
          <w:sz w:val="28"/>
          <w:szCs w:val="28"/>
        </w:rPr>
        <w:tab/>
      </w:r>
      <w:r w:rsidR="008E3D2F">
        <w:rPr>
          <w:bCs/>
          <w:sz w:val="28"/>
          <w:szCs w:val="28"/>
        </w:rPr>
        <w:t>Задолженность по налогам и сборам, пеням и налоговым санкциям в бюджетную систему</w:t>
      </w:r>
      <w:r w:rsidR="008E3D2F">
        <w:rPr>
          <w:sz w:val="28"/>
          <w:szCs w:val="28"/>
        </w:rPr>
        <w:t xml:space="preserve"> Российской Федерации организаций Тульской области по состоянию на 01.07.2016 составила </w:t>
      </w:r>
      <w:r w:rsidR="008E3D2F">
        <w:rPr>
          <w:rFonts w:eastAsia="Calibri"/>
          <w:sz w:val="28"/>
          <w:szCs w:val="28"/>
        </w:rPr>
        <w:t xml:space="preserve">6 227 403,0 </w:t>
      </w:r>
      <w:r w:rsidR="008E3D2F">
        <w:rPr>
          <w:sz w:val="28"/>
          <w:szCs w:val="28"/>
        </w:rPr>
        <w:t>тыс. рублей</w:t>
      </w:r>
      <w:r>
        <w:rPr>
          <w:sz w:val="28"/>
          <w:szCs w:val="28"/>
        </w:rPr>
        <w:t xml:space="preserve"> и увеличилась</w:t>
      </w:r>
      <w:r w:rsidR="008E3D2F">
        <w:rPr>
          <w:sz w:val="28"/>
          <w:szCs w:val="28"/>
        </w:rPr>
        <w:t xml:space="preserve"> за </w:t>
      </w:r>
      <w:r w:rsidR="006376F9">
        <w:rPr>
          <w:sz w:val="28"/>
          <w:szCs w:val="28"/>
        </w:rPr>
        <w:t>первое</w:t>
      </w:r>
      <w:r w:rsidR="008E3D2F">
        <w:rPr>
          <w:sz w:val="28"/>
          <w:szCs w:val="28"/>
        </w:rPr>
        <w:t xml:space="preserve"> полугодие текущего года на 16,9%, или на 902 302,0 тыс. рублей.</w:t>
      </w:r>
    </w:p>
    <w:p w:rsidR="008E3D2F" w:rsidRDefault="008E3D2F" w:rsidP="008E3D2F">
      <w:pPr>
        <w:pStyle w:val="a3"/>
        <w:tabs>
          <w:tab w:val="left" w:pos="993"/>
        </w:tabs>
        <w:ind w:left="20" w:right="60" w:firstLine="709"/>
        <w:jc w:val="both"/>
        <w:rPr>
          <w:szCs w:val="28"/>
        </w:rPr>
      </w:pPr>
      <w:r>
        <w:rPr>
          <w:szCs w:val="28"/>
        </w:rPr>
        <w:t xml:space="preserve">Наибольший удельный вес в объеме задолженности приходится на </w:t>
      </w:r>
      <w:r>
        <w:rPr>
          <w:i/>
          <w:szCs w:val="28"/>
        </w:rPr>
        <w:t xml:space="preserve">недоимку </w:t>
      </w:r>
      <w:r>
        <w:rPr>
          <w:szCs w:val="28"/>
        </w:rPr>
        <w:t>– 58,1% (</w:t>
      </w:r>
      <w:r>
        <w:rPr>
          <w:rFonts w:eastAsia="Calibri"/>
          <w:szCs w:val="28"/>
        </w:rPr>
        <w:t xml:space="preserve">3 619 080,0 </w:t>
      </w:r>
      <w:r>
        <w:rPr>
          <w:szCs w:val="28"/>
        </w:rPr>
        <w:t xml:space="preserve">тыс. рублей). С начала года недоимка по налогам и сборам </w:t>
      </w:r>
      <w:r>
        <w:rPr>
          <w:spacing w:val="-4"/>
          <w:szCs w:val="28"/>
        </w:rPr>
        <w:t xml:space="preserve">увеличилась на 17,1%, или на 528 946,0 тыс. рублей. </w:t>
      </w:r>
    </w:p>
    <w:p w:rsidR="008E3D2F" w:rsidRPr="00C536BD" w:rsidRDefault="008E3D2F" w:rsidP="00C536BD">
      <w:pPr>
        <w:pStyle w:val="aff"/>
        <w:numPr>
          <w:ilvl w:val="0"/>
          <w:numId w:val="33"/>
        </w:numPr>
        <w:tabs>
          <w:tab w:val="left" w:pos="709"/>
          <w:tab w:val="left" w:pos="993"/>
        </w:tabs>
        <w:spacing w:before="120"/>
        <w:ind w:left="0" w:firstLine="709"/>
        <w:jc w:val="both"/>
        <w:rPr>
          <w:spacing w:val="4"/>
          <w:sz w:val="28"/>
          <w:szCs w:val="28"/>
        </w:rPr>
      </w:pPr>
      <w:r w:rsidRPr="00C536BD">
        <w:rPr>
          <w:spacing w:val="-4"/>
          <w:sz w:val="28"/>
          <w:szCs w:val="28"/>
        </w:rPr>
        <w:t xml:space="preserve">Расходы бюджета области на 01.07.2016 составили </w:t>
      </w:r>
      <w:r w:rsidRPr="00C536BD">
        <w:rPr>
          <w:sz w:val="28"/>
          <w:szCs w:val="28"/>
        </w:rPr>
        <w:t>29 524 951,0 тыс.</w:t>
      </w:r>
      <w:r w:rsidR="00C536BD">
        <w:rPr>
          <w:sz w:val="28"/>
          <w:szCs w:val="28"/>
        </w:rPr>
        <w:t> </w:t>
      </w:r>
      <w:r w:rsidRPr="00C536BD">
        <w:rPr>
          <w:sz w:val="28"/>
          <w:szCs w:val="28"/>
        </w:rPr>
        <w:t>рублей</w:t>
      </w:r>
      <w:r w:rsidR="00C536BD">
        <w:rPr>
          <w:sz w:val="28"/>
          <w:szCs w:val="28"/>
        </w:rPr>
        <w:t>,</w:t>
      </w:r>
      <w:r w:rsidRPr="00C536BD">
        <w:rPr>
          <w:sz w:val="28"/>
          <w:szCs w:val="28"/>
        </w:rPr>
        <w:t xml:space="preserve"> или на 44,7</w:t>
      </w:r>
      <w:r w:rsidRPr="00C536BD">
        <w:rPr>
          <w:spacing w:val="-4"/>
          <w:sz w:val="28"/>
          <w:szCs w:val="28"/>
        </w:rPr>
        <w:t xml:space="preserve">% к годовым бюджетным назначениям. По сравнению с соответствующим периодом прошлого года расходы за отчетный период в целом </w:t>
      </w:r>
      <w:r w:rsidRPr="00C536BD">
        <w:rPr>
          <w:spacing w:val="4"/>
          <w:sz w:val="28"/>
          <w:szCs w:val="28"/>
        </w:rPr>
        <w:t>уменьшились на 1 00</w:t>
      </w:r>
      <w:r w:rsidR="008D22D2">
        <w:rPr>
          <w:spacing w:val="4"/>
          <w:sz w:val="28"/>
          <w:szCs w:val="28"/>
        </w:rPr>
        <w:t>2</w:t>
      </w:r>
      <w:r w:rsidRPr="00C536BD">
        <w:rPr>
          <w:spacing w:val="4"/>
          <w:sz w:val="28"/>
          <w:szCs w:val="28"/>
        </w:rPr>
        <w:t xml:space="preserve"> 111,2 тыс. рублей, или на 3,3% Уменьшение расходов отмечается по шести из четырнадцати разделов бюджетной классификации </w:t>
      </w:r>
      <w:r w:rsidRPr="00C536BD">
        <w:rPr>
          <w:spacing w:val="4"/>
          <w:sz w:val="28"/>
          <w:szCs w:val="28"/>
        </w:rPr>
        <w:lastRenderedPageBreak/>
        <w:t>расходов, наиболее значительное – по разделу 0500 «</w:t>
      </w:r>
      <w:r w:rsidRPr="00C536BD">
        <w:rPr>
          <w:sz w:val="28"/>
          <w:szCs w:val="28"/>
        </w:rPr>
        <w:t>Жилищно-коммунальное хозяйство</w:t>
      </w:r>
      <w:r w:rsidRPr="00C536BD">
        <w:rPr>
          <w:spacing w:val="4"/>
          <w:sz w:val="28"/>
          <w:szCs w:val="28"/>
        </w:rPr>
        <w:t xml:space="preserve">» (в 1,5 раза, или на 494 659,1 тыс. рублей). </w:t>
      </w:r>
    </w:p>
    <w:p w:rsidR="008E3D2F" w:rsidRDefault="00C536BD" w:rsidP="008E3D2F">
      <w:pPr>
        <w:pStyle w:val="31"/>
        <w:tabs>
          <w:tab w:val="left" w:pos="993"/>
        </w:tabs>
        <w:spacing w:before="120" w:after="0"/>
        <w:ind w:left="0" w:firstLine="709"/>
        <w:jc w:val="both"/>
        <w:rPr>
          <w:spacing w:val="-4"/>
          <w:sz w:val="28"/>
          <w:szCs w:val="28"/>
        </w:rPr>
      </w:pPr>
      <w:r>
        <w:rPr>
          <w:spacing w:val="-2"/>
          <w:sz w:val="28"/>
          <w:szCs w:val="28"/>
        </w:rPr>
        <w:t>7</w:t>
      </w:r>
      <w:r w:rsidR="008E3D2F">
        <w:rPr>
          <w:spacing w:val="-2"/>
          <w:sz w:val="28"/>
          <w:szCs w:val="28"/>
        </w:rPr>
        <w:t>.</w:t>
      </w:r>
      <w:r w:rsidR="008E3D2F">
        <w:rPr>
          <w:spacing w:val="-2"/>
          <w:sz w:val="28"/>
          <w:szCs w:val="28"/>
        </w:rPr>
        <w:tab/>
      </w:r>
      <w:r w:rsidR="008E3D2F">
        <w:rPr>
          <w:sz w:val="28"/>
          <w:szCs w:val="28"/>
        </w:rPr>
        <w:t xml:space="preserve">В отчетном периоде 2016 года в бюджеты муниципальных районов (городских округов) было направлено 8 449 940,1 тыс. рублей (45,3% от общего объема межбюджетных трансфертов, утвержденного на 2016 год), в том числе в форме: </w:t>
      </w:r>
      <w:r w:rsidR="008E3D2F">
        <w:rPr>
          <w:spacing w:val="-4"/>
          <w:sz w:val="28"/>
          <w:szCs w:val="28"/>
        </w:rPr>
        <w:t xml:space="preserve">дотаций – </w:t>
      </w:r>
      <w:r w:rsidR="008E3D2F">
        <w:rPr>
          <w:sz w:val="28"/>
          <w:szCs w:val="28"/>
        </w:rPr>
        <w:t>792 221,4 тыс. рублей (50,8</w:t>
      </w:r>
      <w:r w:rsidR="008E3D2F">
        <w:rPr>
          <w:spacing w:val="-4"/>
          <w:sz w:val="28"/>
          <w:szCs w:val="28"/>
        </w:rPr>
        <w:t xml:space="preserve">% от плановых назначений); субсидий – </w:t>
      </w:r>
      <w:r w:rsidR="008E3D2F">
        <w:rPr>
          <w:sz w:val="28"/>
          <w:szCs w:val="28"/>
        </w:rPr>
        <w:t>1 426 371,9 тыс. рублей (28,9</w:t>
      </w:r>
      <w:r w:rsidR="008E3D2F">
        <w:rPr>
          <w:spacing w:val="-4"/>
          <w:sz w:val="28"/>
          <w:szCs w:val="28"/>
        </w:rPr>
        <w:t xml:space="preserve">%); </w:t>
      </w:r>
      <w:r w:rsidR="008E3D2F">
        <w:rPr>
          <w:sz w:val="28"/>
          <w:szCs w:val="28"/>
        </w:rPr>
        <w:t>субвенций – 6 227 858,0 тыс. рублей (51,3</w:t>
      </w:r>
      <w:r w:rsidR="008E3D2F">
        <w:rPr>
          <w:spacing w:val="-4"/>
          <w:sz w:val="28"/>
          <w:szCs w:val="28"/>
        </w:rPr>
        <w:t xml:space="preserve">%), </w:t>
      </w:r>
      <w:r w:rsidR="008E3D2F">
        <w:rPr>
          <w:sz w:val="28"/>
          <w:szCs w:val="28"/>
        </w:rPr>
        <w:t>иных межбюджетных трансфертов – 3 488,8 тыс. рублей (21%).</w:t>
      </w:r>
    </w:p>
    <w:p w:rsidR="008E3D2F" w:rsidRDefault="00C536BD" w:rsidP="00C536BD">
      <w:pPr>
        <w:pStyle w:val="31"/>
        <w:tabs>
          <w:tab w:val="left" w:pos="993"/>
        </w:tabs>
        <w:spacing w:before="120" w:after="0"/>
        <w:ind w:left="0" w:firstLine="709"/>
        <w:jc w:val="both"/>
        <w:rPr>
          <w:spacing w:val="-4"/>
          <w:sz w:val="28"/>
          <w:szCs w:val="28"/>
        </w:rPr>
      </w:pPr>
      <w:r>
        <w:rPr>
          <w:spacing w:val="-4"/>
          <w:sz w:val="28"/>
          <w:szCs w:val="28"/>
        </w:rPr>
        <w:t>8</w:t>
      </w:r>
      <w:r w:rsidR="008E3D2F">
        <w:rPr>
          <w:spacing w:val="-2"/>
          <w:sz w:val="28"/>
          <w:szCs w:val="28"/>
        </w:rPr>
        <w:t>.</w:t>
      </w:r>
      <w:r w:rsidR="008E3D2F">
        <w:rPr>
          <w:spacing w:val="-2"/>
          <w:sz w:val="28"/>
          <w:szCs w:val="28"/>
        </w:rPr>
        <w:tab/>
        <w:t xml:space="preserve">Расходы за счет средств дорожного фонда Тульской области по состоянию на 01.07.2016 составили </w:t>
      </w:r>
      <w:r w:rsidR="008E3D2F">
        <w:rPr>
          <w:sz w:val="28"/>
          <w:szCs w:val="28"/>
        </w:rPr>
        <w:t xml:space="preserve">1 521 278,2 </w:t>
      </w:r>
      <w:r w:rsidR="008E3D2F">
        <w:rPr>
          <w:spacing w:val="-2"/>
          <w:sz w:val="28"/>
          <w:szCs w:val="28"/>
        </w:rPr>
        <w:t xml:space="preserve">тыс. рублей (32,4% от плановых назначений), из них </w:t>
      </w:r>
      <w:r w:rsidR="008E3D2F">
        <w:rPr>
          <w:spacing w:val="-4"/>
          <w:sz w:val="28"/>
          <w:szCs w:val="28"/>
        </w:rPr>
        <w:t xml:space="preserve">1 434 408,9 </w:t>
      </w:r>
      <w:r w:rsidR="008E3D2F">
        <w:rPr>
          <w:spacing w:val="-2"/>
          <w:sz w:val="28"/>
          <w:szCs w:val="28"/>
        </w:rPr>
        <w:t xml:space="preserve">тыс. рублей (94,3% от объема расходов за счет средств дорожного фонда) было направлено на предоставление субсидий бюджетному учреждению Тульской области «Тулаавтодор» на выполнение государственного задания на выполнение работ по капитальному ремонту, содержанию автомобильных дорог общего пользования регионального или межмуниципального значения, </w:t>
      </w:r>
      <w:r w:rsidR="008E3D2F">
        <w:rPr>
          <w:spacing w:val="-4"/>
          <w:sz w:val="28"/>
          <w:szCs w:val="28"/>
        </w:rPr>
        <w:t xml:space="preserve">на осуществление капитальных вложений в объекты в объекты капитального строительства государственной собственности. </w:t>
      </w:r>
    </w:p>
    <w:p w:rsidR="008E3D2F" w:rsidRDefault="008E3D2F" w:rsidP="00C536BD">
      <w:pPr>
        <w:pStyle w:val="31"/>
        <w:tabs>
          <w:tab w:val="left" w:pos="1134"/>
        </w:tabs>
        <w:spacing w:after="0"/>
        <w:ind w:left="0" w:firstLine="709"/>
        <w:jc w:val="both"/>
        <w:rPr>
          <w:spacing w:val="-2"/>
          <w:sz w:val="28"/>
          <w:szCs w:val="28"/>
        </w:rPr>
      </w:pPr>
      <w:r>
        <w:rPr>
          <w:spacing w:val="-4"/>
          <w:sz w:val="28"/>
          <w:szCs w:val="28"/>
        </w:rPr>
        <w:t>В первом полугодии текущего года объем поступлений доходов бюджета Тульской области,</w:t>
      </w:r>
      <w:r>
        <w:rPr>
          <w:rFonts w:eastAsia="Calibri"/>
          <w:sz w:val="28"/>
          <w:szCs w:val="28"/>
        </w:rPr>
        <w:t xml:space="preserve"> в пределах которых формируются бюджетные ассигнования дорожного фонда Тульской области,</w:t>
      </w:r>
      <w:r>
        <w:rPr>
          <w:spacing w:val="-4"/>
          <w:sz w:val="28"/>
          <w:szCs w:val="28"/>
        </w:rPr>
        <w:t xml:space="preserve"> составил </w:t>
      </w:r>
      <w:r>
        <w:rPr>
          <w:spacing w:val="-2"/>
          <w:sz w:val="28"/>
          <w:szCs w:val="28"/>
        </w:rPr>
        <w:t>1 848 543,2 тыс. рублей.</w:t>
      </w:r>
    </w:p>
    <w:p w:rsidR="008E3D2F" w:rsidRDefault="00C536BD" w:rsidP="00D936FE">
      <w:pPr>
        <w:tabs>
          <w:tab w:val="left" w:pos="993"/>
        </w:tabs>
        <w:spacing w:before="60"/>
        <w:ind w:firstLine="709"/>
        <w:jc w:val="both"/>
        <w:rPr>
          <w:color w:val="000000"/>
          <w:spacing w:val="-4"/>
          <w:sz w:val="28"/>
          <w:szCs w:val="28"/>
        </w:rPr>
      </w:pPr>
      <w:r>
        <w:rPr>
          <w:spacing w:val="-2"/>
          <w:sz w:val="28"/>
          <w:szCs w:val="28"/>
        </w:rPr>
        <w:t>9</w:t>
      </w:r>
      <w:r w:rsidR="008E3D2F">
        <w:rPr>
          <w:spacing w:val="-2"/>
          <w:sz w:val="28"/>
          <w:szCs w:val="28"/>
        </w:rPr>
        <w:t>.</w:t>
      </w:r>
      <w:r w:rsidR="008E3D2F">
        <w:rPr>
          <w:spacing w:val="-2"/>
          <w:sz w:val="28"/>
          <w:szCs w:val="28"/>
        </w:rPr>
        <w:tab/>
        <w:t>За первое полугодие 2016 года бюджетные ассигнования на реализацию 2</w:t>
      </w:r>
      <w:r w:rsidR="00152939">
        <w:rPr>
          <w:spacing w:val="-2"/>
          <w:sz w:val="28"/>
          <w:szCs w:val="28"/>
        </w:rPr>
        <w:t>3</w:t>
      </w:r>
      <w:r w:rsidR="008E3D2F">
        <w:rPr>
          <w:spacing w:val="-2"/>
          <w:sz w:val="28"/>
          <w:szCs w:val="28"/>
        </w:rPr>
        <w:t xml:space="preserve"> государственных программ Тульской области </w:t>
      </w:r>
      <w:r w:rsidR="008E3D2F">
        <w:rPr>
          <w:bCs/>
          <w:spacing w:val="-4"/>
          <w:sz w:val="28"/>
        </w:rPr>
        <w:t>направлено</w:t>
      </w:r>
      <w:r w:rsidR="008E3D2F">
        <w:rPr>
          <w:spacing w:val="-2"/>
          <w:sz w:val="28"/>
          <w:szCs w:val="28"/>
        </w:rPr>
        <w:t xml:space="preserve"> </w:t>
      </w:r>
      <w:r w:rsidR="008E3D2F">
        <w:rPr>
          <w:bCs/>
          <w:sz w:val="28"/>
          <w:szCs w:val="28"/>
          <w:lang w:eastAsia="en-US"/>
        </w:rPr>
        <w:t>28 478 705,1</w:t>
      </w:r>
      <w:r w:rsidR="008E3D2F">
        <w:rPr>
          <w:b/>
          <w:bCs/>
          <w:lang w:eastAsia="en-US"/>
        </w:rPr>
        <w:t xml:space="preserve"> </w:t>
      </w:r>
      <w:r w:rsidR="008E3D2F">
        <w:rPr>
          <w:sz w:val="28"/>
          <w:szCs w:val="28"/>
        </w:rPr>
        <w:t xml:space="preserve">тыс. рублей, что составляет 45,7% </w:t>
      </w:r>
      <w:r w:rsidR="008E3D2F">
        <w:rPr>
          <w:spacing w:val="-2"/>
          <w:sz w:val="28"/>
          <w:szCs w:val="28"/>
        </w:rPr>
        <w:t xml:space="preserve">от </w:t>
      </w:r>
      <w:r w:rsidR="008E3D2F">
        <w:rPr>
          <w:sz w:val="28"/>
          <w:szCs w:val="28"/>
        </w:rPr>
        <w:t xml:space="preserve">утвержденного объема бюджетных ассигнований на 2016 год.  </w:t>
      </w:r>
      <w:r w:rsidR="008E3D2F">
        <w:rPr>
          <w:spacing w:val="-2"/>
          <w:sz w:val="28"/>
          <w:szCs w:val="28"/>
        </w:rPr>
        <w:t xml:space="preserve">Наибольшее использование бюджетных ассигнований (на 50 и более процентов) отмечается по </w:t>
      </w:r>
      <w:r w:rsidR="008E3D2F">
        <w:rPr>
          <w:spacing w:val="-4"/>
          <w:sz w:val="28"/>
          <w:szCs w:val="28"/>
        </w:rPr>
        <w:t>четырем</w:t>
      </w:r>
      <w:r w:rsidR="008E3D2F">
        <w:rPr>
          <w:spacing w:val="-2"/>
          <w:sz w:val="28"/>
          <w:szCs w:val="28"/>
        </w:rPr>
        <w:t xml:space="preserve"> государственным программам («</w:t>
      </w:r>
      <w:r w:rsidR="008E3D2F">
        <w:rPr>
          <w:color w:val="000000"/>
          <w:spacing w:val="-4"/>
          <w:sz w:val="28"/>
          <w:szCs w:val="28"/>
        </w:rPr>
        <w:t xml:space="preserve">Развитие транспортной системы Тульской области и повышение безопасности дорожного движения» (50%), </w:t>
      </w:r>
      <w:r w:rsidR="008E3D2F">
        <w:rPr>
          <w:spacing w:val="-2"/>
          <w:sz w:val="28"/>
          <w:szCs w:val="28"/>
        </w:rPr>
        <w:t xml:space="preserve">«Развитие образования Тульской области» (50,7%), «Управление государственными финансами Тульской области» (51,7%), </w:t>
      </w:r>
      <w:r w:rsidR="008E3D2F">
        <w:rPr>
          <w:color w:val="000000"/>
          <w:spacing w:val="-4"/>
          <w:sz w:val="28"/>
          <w:szCs w:val="28"/>
        </w:rPr>
        <w:t>«Улучшение инвестиционного климата Тульской области» (53,8%).</w:t>
      </w:r>
    </w:p>
    <w:p w:rsidR="00E76E26" w:rsidRPr="00E76E26" w:rsidRDefault="00E76E26" w:rsidP="00E76E26">
      <w:pPr>
        <w:pStyle w:val="aff"/>
        <w:numPr>
          <w:ilvl w:val="0"/>
          <w:numId w:val="35"/>
        </w:numPr>
        <w:tabs>
          <w:tab w:val="left" w:pos="709"/>
          <w:tab w:val="left" w:pos="1134"/>
        </w:tabs>
        <w:spacing w:before="120"/>
        <w:ind w:left="0" w:firstLine="709"/>
        <w:jc w:val="both"/>
        <w:rPr>
          <w:spacing w:val="4"/>
          <w:sz w:val="28"/>
          <w:szCs w:val="28"/>
        </w:rPr>
      </w:pPr>
      <w:r w:rsidRPr="00E76E26">
        <w:rPr>
          <w:spacing w:val="-4"/>
          <w:sz w:val="28"/>
          <w:szCs w:val="28"/>
        </w:rPr>
        <w:t>По итогам первого полугодия 2016 года бюджет Тульской области исполнен с превышением расходов над доходами (дефицитом) в сумме 544 972,1 тыс. рублей, что составляет 2,4% к объему доходов бюджета области без учета утвержденного объема безвозмездных поступлений.</w:t>
      </w:r>
    </w:p>
    <w:p w:rsidR="00E76E26" w:rsidRDefault="00E76E26" w:rsidP="00E76E26">
      <w:pPr>
        <w:pStyle w:val="12"/>
        <w:numPr>
          <w:ilvl w:val="0"/>
          <w:numId w:val="35"/>
        </w:numPr>
        <w:tabs>
          <w:tab w:val="left" w:pos="851"/>
          <w:tab w:val="left" w:pos="1134"/>
        </w:tabs>
        <w:spacing w:before="120"/>
        <w:ind w:left="0" w:firstLine="709"/>
        <w:jc w:val="both"/>
        <w:rPr>
          <w:spacing w:val="-2"/>
          <w:sz w:val="28"/>
          <w:szCs w:val="28"/>
        </w:rPr>
      </w:pPr>
      <w:r>
        <w:rPr>
          <w:spacing w:val="-2"/>
          <w:sz w:val="28"/>
          <w:szCs w:val="28"/>
        </w:rPr>
        <w:t xml:space="preserve">Остатки средств на едином счете бюджета области по состоянию на 01.07.2016 составили </w:t>
      </w:r>
      <w:r>
        <w:rPr>
          <w:spacing w:val="-4"/>
          <w:sz w:val="28"/>
          <w:szCs w:val="28"/>
        </w:rPr>
        <w:t xml:space="preserve">1 985 662,6 </w:t>
      </w:r>
      <w:r>
        <w:rPr>
          <w:spacing w:val="-2"/>
          <w:sz w:val="28"/>
          <w:szCs w:val="28"/>
        </w:rPr>
        <w:t xml:space="preserve">тыс. рублей (увеличились относительно остатков средств на 01.01.2016 в 1,7 раза), из них собственные средства </w:t>
      </w:r>
      <w:r w:rsidR="008D22D2">
        <w:rPr>
          <w:spacing w:val="-2"/>
          <w:sz w:val="28"/>
          <w:szCs w:val="28"/>
        </w:rPr>
        <w:t>–</w:t>
      </w:r>
      <w:r>
        <w:rPr>
          <w:spacing w:val="-4"/>
          <w:sz w:val="28"/>
          <w:szCs w:val="28"/>
        </w:rPr>
        <w:t>820 999,6</w:t>
      </w:r>
      <w:r>
        <w:rPr>
          <w:spacing w:val="-4"/>
          <w:sz w:val="26"/>
          <w:szCs w:val="26"/>
        </w:rPr>
        <w:t xml:space="preserve"> </w:t>
      </w:r>
      <w:r>
        <w:rPr>
          <w:spacing w:val="-2"/>
          <w:sz w:val="28"/>
          <w:szCs w:val="28"/>
        </w:rPr>
        <w:t xml:space="preserve">тыс. рублей (41,3% общей суммы остатков). </w:t>
      </w:r>
    </w:p>
    <w:p w:rsidR="008E3D2F" w:rsidRDefault="008E3D2F" w:rsidP="00E76E26">
      <w:pPr>
        <w:pStyle w:val="12"/>
        <w:tabs>
          <w:tab w:val="left" w:pos="851"/>
          <w:tab w:val="left" w:pos="1134"/>
        </w:tabs>
        <w:spacing w:before="120"/>
        <w:ind w:firstLine="709"/>
        <w:jc w:val="both"/>
        <w:rPr>
          <w:bCs/>
          <w:spacing w:val="4"/>
          <w:sz w:val="28"/>
          <w:szCs w:val="28"/>
        </w:rPr>
      </w:pPr>
      <w:r>
        <w:rPr>
          <w:spacing w:val="-2"/>
          <w:sz w:val="28"/>
          <w:szCs w:val="28"/>
        </w:rPr>
        <w:t>1</w:t>
      </w:r>
      <w:r w:rsidR="00E76E26">
        <w:rPr>
          <w:spacing w:val="-2"/>
          <w:sz w:val="28"/>
          <w:szCs w:val="28"/>
        </w:rPr>
        <w:t>2</w:t>
      </w:r>
      <w:r>
        <w:rPr>
          <w:spacing w:val="-2"/>
          <w:sz w:val="28"/>
          <w:szCs w:val="28"/>
        </w:rPr>
        <w:t>.</w:t>
      </w:r>
      <w:r>
        <w:rPr>
          <w:spacing w:val="-2"/>
          <w:sz w:val="28"/>
          <w:szCs w:val="28"/>
        </w:rPr>
        <w:tab/>
        <w:t xml:space="preserve">За первое полугодие 2016 года объем государственного долга Тульской области уменьшился </w:t>
      </w:r>
      <w:r w:rsidR="00E76E26">
        <w:rPr>
          <w:spacing w:val="-2"/>
          <w:sz w:val="28"/>
          <w:szCs w:val="28"/>
        </w:rPr>
        <w:t xml:space="preserve">относительно его величины на начало года на </w:t>
      </w:r>
      <w:r>
        <w:rPr>
          <w:sz w:val="28"/>
          <w:szCs w:val="28"/>
        </w:rPr>
        <w:t>157 277,0 тыс. рублей (на 1%) и на 01.07.2016 составил 15 742 723,0 тыс.</w:t>
      </w:r>
      <w:r w:rsidR="00E76E26">
        <w:rPr>
          <w:sz w:val="28"/>
          <w:szCs w:val="28"/>
        </w:rPr>
        <w:t> </w:t>
      </w:r>
      <w:r>
        <w:rPr>
          <w:sz w:val="28"/>
          <w:szCs w:val="28"/>
        </w:rPr>
        <w:t>рублей.</w:t>
      </w:r>
    </w:p>
    <w:p w:rsidR="008E3D2F" w:rsidRDefault="008E3D2F" w:rsidP="008E3D2F">
      <w:pPr>
        <w:pStyle w:val="12"/>
        <w:tabs>
          <w:tab w:val="left" w:pos="851"/>
        </w:tabs>
        <w:ind w:firstLine="709"/>
        <w:jc w:val="both"/>
        <w:rPr>
          <w:spacing w:val="-4"/>
          <w:sz w:val="28"/>
          <w:szCs w:val="28"/>
        </w:rPr>
      </w:pPr>
      <w:r>
        <w:rPr>
          <w:sz w:val="28"/>
          <w:szCs w:val="28"/>
        </w:rPr>
        <w:lastRenderedPageBreak/>
        <w:t xml:space="preserve">Расходы бюджета области на обслуживание государственного внутреннего долга Тульской области </w:t>
      </w:r>
      <w:r>
        <w:rPr>
          <w:spacing w:val="-4"/>
          <w:sz w:val="28"/>
          <w:szCs w:val="28"/>
        </w:rPr>
        <w:t>осуществлены на сумму 500 397,8</w:t>
      </w:r>
      <w:r w:rsidR="008D22D2">
        <w:rPr>
          <w:spacing w:val="-4"/>
          <w:sz w:val="28"/>
          <w:szCs w:val="28"/>
        </w:rPr>
        <w:t xml:space="preserve"> </w:t>
      </w:r>
      <w:r>
        <w:rPr>
          <w:spacing w:val="-4"/>
          <w:sz w:val="28"/>
          <w:szCs w:val="28"/>
        </w:rPr>
        <w:t>тыс.</w:t>
      </w:r>
      <w:r w:rsidR="008D22D2">
        <w:rPr>
          <w:spacing w:val="-4"/>
          <w:sz w:val="28"/>
          <w:szCs w:val="28"/>
        </w:rPr>
        <w:t> </w:t>
      </w:r>
      <w:r>
        <w:rPr>
          <w:spacing w:val="-4"/>
          <w:sz w:val="28"/>
          <w:szCs w:val="28"/>
        </w:rPr>
        <w:t>рублей, что составляет 54,3% к годовым бюджетным назначениям и 80,2% к соответствующему показателю прошлого года.</w:t>
      </w:r>
    </w:p>
    <w:p w:rsidR="00E76E26" w:rsidRDefault="00E76E26" w:rsidP="008E3D2F">
      <w:pPr>
        <w:pStyle w:val="12"/>
        <w:tabs>
          <w:tab w:val="left" w:pos="851"/>
        </w:tabs>
        <w:ind w:firstLine="709"/>
        <w:jc w:val="both"/>
        <w:rPr>
          <w:spacing w:val="-4"/>
          <w:sz w:val="28"/>
          <w:szCs w:val="28"/>
        </w:rPr>
      </w:pPr>
    </w:p>
    <w:tbl>
      <w:tblPr>
        <w:tblW w:w="0" w:type="auto"/>
        <w:tblLook w:val="04A0" w:firstRow="1" w:lastRow="0" w:firstColumn="1" w:lastColumn="0" w:noHBand="0" w:noVBand="1"/>
      </w:tblPr>
      <w:tblGrid>
        <w:gridCol w:w="3304"/>
        <w:gridCol w:w="6050"/>
      </w:tblGrid>
      <w:tr w:rsidR="00E01532" w:rsidRPr="00E01532" w:rsidTr="0061330A">
        <w:tc>
          <w:tcPr>
            <w:tcW w:w="3304" w:type="dxa"/>
          </w:tcPr>
          <w:p w:rsidR="00E01532" w:rsidRPr="00731376" w:rsidRDefault="00E01532" w:rsidP="00432A1A">
            <w:pPr>
              <w:pStyle w:val="af9"/>
              <w:tabs>
                <w:tab w:val="left" w:pos="1134"/>
              </w:tabs>
              <w:ind w:firstLine="0"/>
              <w:rPr>
                <w:rFonts w:ascii="Times New Roman" w:hAnsi="Times New Roman" w:cs="Times New Roman"/>
                <w:sz w:val="16"/>
                <w:szCs w:val="16"/>
              </w:rPr>
            </w:pPr>
          </w:p>
          <w:p w:rsidR="00E01532" w:rsidRPr="00731376" w:rsidRDefault="00E01532" w:rsidP="008E3D2F">
            <w:pPr>
              <w:pStyle w:val="af9"/>
              <w:tabs>
                <w:tab w:val="left" w:pos="1134"/>
              </w:tabs>
              <w:spacing w:before="120"/>
              <w:ind w:firstLine="0"/>
              <w:rPr>
                <w:rFonts w:ascii="Times New Roman" w:hAnsi="Times New Roman" w:cs="Times New Roman"/>
              </w:rPr>
            </w:pPr>
            <w:r w:rsidRPr="00731376">
              <w:rPr>
                <w:rFonts w:ascii="Times New Roman" w:hAnsi="Times New Roman" w:cs="Times New Roman"/>
              </w:rPr>
              <w:t>Аудитор счетной палаты Тульской области</w:t>
            </w:r>
          </w:p>
        </w:tc>
        <w:tc>
          <w:tcPr>
            <w:tcW w:w="6050" w:type="dxa"/>
            <w:vAlign w:val="bottom"/>
          </w:tcPr>
          <w:p w:rsidR="00E01532" w:rsidRPr="00731376" w:rsidRDefault="00E01532" w:rsidP="00432A1A">
            <w:pPr>
              <w:pStyle w:val="af9"/>
              <w:tabs>
                <w:tab w:val="left" w:pos="1134"/>
              </w:tabs>
              <w:ind w:firstLine="0"/>
              <w:jc w:val="right"/>
              <w:rPr>
                <w:rFonts w:ascii="Times New Roman" w:hAnsi="Times New Roman" w:cs="Times New Roman"/>
              </w:rPr>
            </w:pPr>
          </w:p>
          <w:p w:rsidR="00E01532" w:rsidRPr="00731376" w:rsidRDefault="00E01532" w:rsidP="00432A1A">
            <w:pPr>
              <w:pStyle w:val="af9"/>
              <w:tabs>
                <w:tab w:val="left" w:pos="1134"/>
              </w:tabs>
              <w:ind w:firstLine="0"/>
              <w:jc w:val="right"/>
              <w:rPr>
                <w:rFonts w:ascii="Times New Roman" w:hAnsi="Times New Roman" w:cs="Times New Roman"/>
                <w:sz w:val="16"/>
                <w:szCs w:val="16"/>
              </w:rPr>
            </w:pPr>
          </w:p>
          <w:p w:rsidR="00E01532" w:rsidRPr="00E01532" w:rsidRDefault="00E01532" w:rsidP="00E01532">
            <w:pPr>
              <w:pStyle w:val="af9"/>
              <w:tabs>
                <w:tab w:val="left" w:pos="1134"/>
              </w:tabs>
              <w:ind w:firstLine="0"/>
              <w:jc w:val="right"/>
              <w:rPr>
                <w:rFonts w:ascii="Times New Roman" w:hAnsi="Times New Roman" w:cs="Times New Roman"/>
              </w:rPr>
            </w:pPr>
            <w:r w:rsidRPr="00731376">
              <w:rPr>
                <w:rFonts w:ascii="Times New Roman" w:hAnsi="Times New Roman" w:cs="Times New Roman"/>
              </w:rPr>
              <w:t>О.П. Гремякова</w:t>
            </w:r>
          </w:p>
        </w:tc>
      </w:tr>
    </w:tbl>
    <w:p w:rsidR="00DD3636" w:rsidRDefault="00DD3636" w:rsidP="008D22D2"/>
    <w:sectPr w:rsidR="00DD3636" w:rsidSect="00CB430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14" w:rsidRDefault="00AA6714" w:rsidP="00DD3636">
      <w:r>
        <w:separator/>
      </w:r>
    </w:p>
  </w:endnote>
  <w:endnote w:type="continuationSeparator" w:id="0">
    <w:p w:rsidR="00AA6714" w:rsidRDefault="00AA6714" w:rsidP="00DD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14" w:rsidRDefault="00AA6714" w:rsidP="00DD3636">
      <w:r>
        <w:separator/>
      </w:r>
    </w:p>
  </w:footnote>
  <w:footnote w:type="continuationSeparator" w:id="0">
    <w:p w:rsidR="00AA6714" w:rsidRDefault="00AA6714" w:rsidP="00DD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59" w:rsidRDefault="00820559">
    <w:pPr>
      <w:pStyle w:val="ac"/>
      <w:jc w:val="center"/>
    </w:pPr>
    <w:r>
      <w:fldChar w:fldCharType="begin"/>
    </w:r>
    <w:r>
      <w:instrText xml:space="preserve"> PAGE   \* MERGEFORMAT </w:instrText>
    </w:r>
    <w:r>
      <w:fldChar w:fldCharType="separate"/>
    </w:r>
    <w:r w:rsidR="007D3D76">
      <w:rPr>
        <w:noProof/>
      </w:rPr>
      <w:t>4</w:t>
    </w:r>
    <w:r>
      <w:rPr>
        <w:noProof/>
      </w:rPr>
      <w:fldChar w:fldCharType="end"/>
    </w:r>
  </w:p>
  <w:p w:rsidR="00820559" w:rsidRPr="00F363EC" w:rsidRDefault="00820559">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900115844[1]"/>
      </v:shape>
    </w:pict>
  </w:numPicBullet>
  <w:abstractNum w:abstractNumId="0" w15:restartNumberingAfterBreak="0">
    <w:nsid w:val="02C27363"/>
    <w:multiLevelType w:val="hybridMultilevel"/>
    <w:tmpl w:val="FE0EFF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BC1DAD"/>
    <w:multiLevelType w:val="hybridMultilevel"/>
    <w:tmpl w:val="60727F38"/>
    <w:lvl w:ilvl="0" w:tplc="27D8CF38">
      <w:start w:val="1"/>
      <w:numFmt w:val="bullet"/>
      <w:lvlText w:val=""/>
      <w:lvlJc w:val="left"/>
      <w:pPr>
        <w:ind w:left="177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8E742B"/>
    <w:multiLevelType w:val="hybridMultilevel"/>
    <w:tmpl w:val="87B4774E"/>
    <w:lvl w:ilvl="0" w:tplc="7386546C">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E7D638E"/>
    <w:multiLevelType w:val="hybridMultilevel"/>
    <w:tmpl w:val="F1364062"/>
    <w:lvl w:ilvl="0" w:tplc="F0AEDE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6D7274"/>
    <w:multiLevelType w:val="hybridMultilevel"/>
    <w:tmpl w:val="505AEDE6"/>
    <w:lvl w:ilvl="0" w:tplc="44C8192E">
      <w:start w:val="1"/>
      <w:numFmt w:val="bullet"/>
      <w:lvlText w:val=""/>
      <w:lvlJc w:val="left"/>
      <w:pPr>
        <w:ind w:left="1259" w:hanging="360"/>
      </w:pPr>
      <w:rPr>
        <w:rFonts w:ascii="Symbol" w:hAnsi="Symbol" w:hint="default"/>
        <w:sz w:val="22"/>
        <w:szCs w:val="22"/>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A99744E"/>
    <w:multiLevelType w:val="hybridMultilevel"/>
    <w:tmpl w:val="3EE663D8"/>
    <w:lvl w:ilvl="0" w:tplc="6F50D650">
      <w:start w:val="7"/>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15:restartNumberingAfterBreak="0">
    <w:nsid w:val="34A427B1"/>
    <w:multiLevelType w:val="hybridMultilevel"/>
    <w:tmpl w:val="B70CD2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5571B39"/>
    <w:multiLevelType w:val="hybridMultilevel"/>
    <w:tmpl w:val="267CC2C4"/>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15:restartNumberingAfterBreak="0">
    <w:nsid w:val="3AFA44BB"/>
    <w:multiLevelType w:val="hybridMultilevel"/>
    <w:tmpl w:val="B9FEE6A8"/>
    <w:lvl w:ilvl="0" w:tplc="101E90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3EBF6644"/>
    <w:multiLevelType w:val="hybridMultilevel"/>
    <w:tmpl w:val="A90842C8"/>
    <w:lvl w:ilvl="0" w:tplc="CC3234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8F3CF3"/>
    <w:multiLevelType w:val="hybridMultilevel"/>
    <w:tmpl w:val="224E7BDC"/>
    <w:lvl w:ilvl="0" w:tplc="11042E42">
      <w:start w:val="1"/>
      <w:numFmt w:val="bullet"/>
      <w:lvlText w:val=""/>
      <w:lvlPicBulletId w:val="0"/>
      <w:lvlJc w:val="left"/>
      <w:pPr>
        <w:ind w:left="1287"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B7507C"/>
    <w:multiLevelType w:val="hybridMultilevel"/>
    <w:tmpl w:val="5FD4C7D4"/>
    <w:lvl w:ilvl="0" w:tplc="9330371E">
      <w:start w:val="1"/>
      <w:numFmt w:val="bullet"/>
      <w:lvlText w:val=""/>
      <w:lvlJc w:val="left"/>
      <w:pPr>
        <w:ind w:left="1979" w:hanging="360"/>
      </w:pPr>
      <w:rPr>
        <w:rFonts w:ascii="Symbol" w:hAnsi="Symbol" w:hint="default"/>
        <w:sz w:val="22"/>
        <w:szCs w:val="22"/>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12" w15:restartNumberingAfterBreak="0">
    <w:nsid w:val="4A7F1E82"/>
    <w:multiLevelType w:val="hybridMultilevel"/>
    <w:tmpl w:val="525621FC"/>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4DE916CD"/>
    <w:multiLevelType w:val="hybridMultilevel"/>
    <w:tmpl w:val="B17A1BAC"/>
    <w:lvl w:ilvl="0" w:tplc="D722C852">
      <w:start w:val="1"/>
      <w:numFmt w:val="bullet"/>
      <w:lvlText w:val=""/>
      <w:lvlJc w:val="left"/>
      <w:pPr>
        <w:tabs>
          <w:tab w:val="num" w:pos="2181"/>
        </w:tabs>
        <w:ind w:left="2181" w:hanging="360"/>
      </w:pPr>
      <w:rPr>
        <w:rFonts w:ascii="Symbol" w:hAnsi="Symbol" w:hint="default"/>
      </w:rPr>
    </w:lvl>
    <w:lvl w:ilvl="1" w:tplc="27D8CF38">
      <w:start w:val="1"/>
      <w:numFmt w:val="bullet"/>
      <w:lvlText w:val=""/>
      <w:lvlJc w:val="left"/>
      <w:pPr>
        <w:tabs>
          <w:tab w:val="num" w:pos="786"/>
        </w:tabs>
        <w:ind w:left="786" w:hanging="360"/>
      </w:pPr>
      <w:rPr>
        <w:rFonts w:ascii="Symbol" w:hAnsi="Symbol"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4" w15:restartNumberingAfterBreak="0">
    <w:nsid w:val="4FB0677A"/>
    <w:multiLevelType w:val="hybridMultilevel"/>
    <w:tmpl w:val="D1FEB248"/>
    <w:lvl w:ilvl="0" w:tplc="50F8D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1C52CCB"/>
    <w:multiLevelType w:val="hybridMultilevel"/>
    <w:tmpl w:val="33BE7B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FE0FF1"/>
    <w:multiLevelType w:val="hybridMultilevel"/>
    <w:tmpl w:val="98E0621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55E3B73"/>
    <w:multiLevelType w:val="hybridMultilevel"/>
    <w:tmpl w:val="CE6A2F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5910D2"/>
    <w:multiLevelType w:val="hybridMultilevel"/>
    <w:tmpl w:val="FD625D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357772"/>
    <w:multiLevelType w:val="hybridMultilevel"/>
    <w:tmpl w:val="5240C8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DA7417"/>
    <w:multiLevelType w:val="hybridMultilevel"/>
    <w:tmpl w:val="2F4CBBEE"/>
    <w:lvl w:ilvl="0" w:tplc="47D40D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790923"/>
    <w:multiLevelType w:val="hybridMultilevel"/>
    <w:tmpl w:val="13C26986"/>
    <w:lvl w:ilvl="0" w:tplc="B1826FEC">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4E02979"/>
    <w:multiLevelType w:val="hybridMultilevel"/>
    <w:tmpl w:val="9640986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5801A34"/>
    <w:multiLevelType w:val="hybridMultilevel"/>
    <w:tmpl w:val="4A5ABD22"/>
    <w:lvl w:ilvl="0" w:tplc="62525E8C">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697761F"/>
    <w:multiLevelType w:val="hybridMultilevel"/>
    <w:tmpl w:val="7F44B728"/>
    <w:lvl w:ilvl="0" w:tplc="E0C80C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DF3853"/>
    <w:multiLevelType w:val="hybridMultilevel"/>
    <w:tmpl w:val="73040366"/>
    <w:lvl w:ilvl="0" w:tplc="3B9AE1F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E40CF3"/>
    <w:multiLevelType w:val="hybridMultilevel"/>
    <w:tmpl w:val="EBBE887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68DD222E"/>
    <w:multiLevelType w:val="hybridMultilevel"/>
    <w:tmpl w:val="E998F438"/>
    <w:lvl w:ilvl="0" w:tplc="097652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D522A2F"/>
    <w:multiLevelType w:val="hybridMultilevel"/>
    <w:tmpl w:val="F790007C"/>
    <w:lvl w:ilvl="0" w:tplc="DA6CEE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69677F"/>
    <w:multiLevelType w:val="hybridMultilevel"/>
    <w:tmpl w:val="05E201C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76433ACA"/>
    <w:multiLevelType w:val="hybridMultilevel"/>
    <w:tmpl w:val="4C9A266E"/>
    <w:lvl w:ilvl="0" w:tplc="8F36851A">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cs="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cs="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cs="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31" w15:restartNumberingAfterBreak="0">
    <w:nsid w:val="76E45A86"/>
    <w:multiLevelType w:val="hybridMultilevel"/>
    <w:tmpl w:val="066A49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3353A3"/>
    <w:multiLevelType w:val="hybridMultilevel"/>
    <w:tmpl w:val="93EE78AC"/>
    <w:lvl w:ilvl="0" w:tplc="27D8CF3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8"/>
  </w:num>
  <w:num w:numId="3">
    <w:abstractNumId w:val="13"/>
  </w:num>
  <w:num w:numId="4">
    <w:abstractNumId w:val="31"/>
  </w:num>
  <w:num w:numId="5">
    <w:abstractNumId w:val="19"/>
  </w:num>
  <w:num w:numId="6">
    <w:abstractNumId w:val="22"/>
  </w:num>
  <w:num w:numId="7">
    <w:abstractNumId w:val="17"/>
  </w:num>
  <w:num w:numId="8">
    <w:abstractNumId w:val="4"/>
  </w:num>
  <w:num w:numId="9">
    <w:abstractNumId w:val="12"/>
  </w:num>
  <w:num w:numId="10">
    <w:abstractNumId w:val="7"/>
  </w:num>
  <w:num w:numId="11">
    <w:abstractNumId w:val="30"/>
  </w:num>
  <w:num w:numId="12">
    <w:abstractNumId w:val="23"/>
  </w:num>
  <w:num w:numId="13">
    <w:abstractNumId w:val="11"/>
  </w:num>
  <w:num w:numId="14">
    <w:abstractNumId w:val="2"/>
  </w:num>
  <w:num w:numId="15">
    <w:abstractNumId w:val="29"/>
  </w:num>
  <w:num w:numId="16">
    <w:abstractNumId w:val="15"/>
  </w:num>
  <w:num w:numId="17">
    <w:abstractNumId w:val="20"/>
  </w:num>
  <w:num w:numId="18">
    <w:abstractNumId w:val="0"/>
  </w:num>
  <w:num w:numId="19">
    <w:abstractNumId w:val="16"/>
  </w:num>
  <w:num w:numId="20">
    <w:abstractNumId w:val="6"/>
  </w:num>
  <w:num w:numId="21">
    <w:abstractNumId w:val="10"/>
  </w:num>
  <w:num w:numId="22">
    <w:abstractNumId w:val="14"/>
  </w:num>
  <w:num w:numId="23">
    <w:abstractNumId w:val="24"/>
  </w:num>
  <w:num w:numId="24">
    <w:abstractNumId w:val="9"/>
  </w:num>
  <w:num w:numId="25">
    <w:abstractNumId w:val="26"/>
  </w:num>
  <w:num w:numId="26">
    <w:abstractNumId w:val="25"/>
  </w:num>
  <w:num w:numId="27">
    <w:abstractNumId w:val="3"/>
  </w:num>
  <w:num w:numId="28">
    <w:abstractNumId w:val="32"/>
  </w:num>
  <w:num w:numId="29">
    <w:abstractNumId w:val="3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6"/>
    <w:rsid w:val="00001123"/>
    <w:rsid w:val="00001756"/>
    <w:rsid w:val="00002285"/>
    <w:rsid w:val="00003094"/>
    <w:rsid w:val="00005282"/>
    <w:rsid w:val="0000789A"/>
    <w:rsid w:val="00013C0D"/>
    <w:rsid w:val="0001655F"/>
    <w:rsid w:val="00020CE8"/>
    <w:rsid w:val="0002490F"/>
    <w:rsid w:val="0003174B"/>
    <w:rsid w:val="00032361"/>
    <w:rsid w:val="000339BC"/>
    <w:rsid w:val="0003510E"/>
    <w:rsid w:val="00042377"/>
    <w:rsid w:val="000447CC"/>
    <w:rsid w:val="000538D4"/>
    <w:rsid w:val="00054D7F"/>
    <w:rsid w:val="00060916"/>
    <w:rsid w:val="00067DA0"/>
    <w:rsid w:val="00075708"/>
    <w:rsid w:val="00080FB2"/>
    <w:rsid w:val="00083549"/>
    <w:rsid w:val="00093DE3"/>
    <w:rsid w:val="000A06A4"/>
    <w:rsid w:val="000A39BC"/>
    <w:rsid w:val="000B311D"/>
    <w:rsid w:val="000B4431"/>
    <w:rsid w:val="000B5BBD"/>
    <w:rsid w:val="000C0018"/>
    <w:rsid w:val="000C0F47"/>
    <w:rsid w:val="000D3529"/>
    <w:rsid w:val="000D3BF7"/>
    <w:rsid w:val="000D4B6E"/>
    <w:rsid w:val="000D533E"/>
    <w:rsid w:val="000E4E18"/>
    <w:rsid w:val="000E5C63"/>
    <w:rsid w:val="000F1114"/>
    <w:rsid w:val="000F6692"/>
    <w:rsid w:val="00101594"/>
    <w:rsid w:val="001015A9"/>
    <w:rsid w:val="001056F4"/>
    <w:rsid w:val="001063B0"/>
    <w:rsid w:val="00111196"/>
    <w:rsid w:val="00112239"/>
    <w:rsid w:val="0011785B"/>
    <w:rsid w:val="00120E24"/>
    <w:rsid w:val="001300AC"/>
    <w:rsid w:val="00132C74"/>
    <w:rsid w:val="0013452E"/>
    <w:rsid w:val="00142710"/>
    <w:rsid w:val="0014595E"/>
    <w:rsid w:val="00152939"/>
    <w:rsid w:val="00155265"/>
    <w:rsid w:val="001614DC"/>
    <w:rsid w:val="00162EA1"/>
    <w:rsid w:val="00164CD4"/>
    <w:rsid w:val="00165171"/>
    <w:rsid w:val="001752EA"/>
    <w:rsid w:val="001904F4"/>
    <w:rsid w:val="001915DF"/>
    <w:rsid w:val="00197DD8"/>
    <w:rsid w:val="001A13CE"/>
    <w:rsid w:val="001B2FED"/>
    <w:rsid w:val="001B60B7"/>
    <w:rsid w:val="001C439D"/>
    <w:rsid w:val="001C4B87"/>
    <w:rsid w:val="001C4F7C"/>
    <w:rsid w:val="001D2232"/>
    <w:rsid w:val="001D6D15"/>
    <w:rsid w:val="001D7891"/>
    <w:rsid w:val="001E77A1"/>
    <w:rsid w:val="00203F66"/>
    <w:rsid w:val="0020639F"/>
    <w:rsid w:val="00212EBD"/>
    <w:rsid w:val="0021364C"/>
    <w:rsid w:val="002421BD"/>
    <w:rsid w:val="00242C27"/>
    <w:rsid w:val="002464B7"/>
    <w:rsid w:val="00246549"/>
    <w:rsid w:val="0025506F"/>
    <w:rsid w:val="00256030"/>
    <w:rsid w:val="00256853"/>
    <w:rsid w:val="002629B3"/>
    <w:rsid w:val="00262CD2"/>
    <w:rsid w:val="00263509"/>
    <w:rsid w:val="00264615"/>
    <w:rsid w:val="00266D67"/>
    <w:rsid w:val="00267CFC"/>
    <w:rsid w:val="0027000F"/>
    <w:rsid w:val="00277300"/>
    <w:rsid w:val="00280555"/>
    <w:rsid w:val="002907B8"/>
    <w:rsid w:val="002A79BC"/>
    <w:rsid w:val="002D7D72"/>
    <w:rsid w:val="002E7DA0"/>
    <w:rsid w:val="002F0384"/>
    <w:rsid w:val="002F1A9C"/>
    <w:rsid w:val="00300E32"/>
    <w:rsid w:val="00306C6D"/>
    <w:rsid w:val="0030724B"/>
    <w:rsid w:val="00310668"/>
    <w:rsid w:val="00311677"/>
    <w:rsid w:val="00313435"/>
    <w:rsid w:val="003265D1"/>
    <w:rsid w:val="00342118"/>
    <w:rsid w:val="003501C3"/>
    <w:rsid w:val="00351638"/>
    <w:rsid w:val="00355F28"/>
    <w:rsid w:val="00357497"/>
    <w:rsid w:val="00360D9C"/>
    <w:rsid w:val="00364DE3"/>
    <w:rsid w:val="00366ECD"/>
    <w:rsid w:val="00371400"/>
    <w:rsid w:val="00382C10"/>
    <w:rsid w:val="00395A53"/>
    <w:rsid w:val="003A1E69"/>
    <w:rsid w:val="003A4263"/>
    <w:rsid w:val="003A44F2"/>
    <w:rsid w:val="003B084A"/>
    <w:rsid w:val="003B3ED7"/>
    <w:rsid w:val="003B59E6"/>
    <w:rsid w:val="003B7280"/>
    <w:rsid w:val="003C54BA"/>
    <w:rsid w:val="003D17D7"/>
    <w:rsid w:val="003D6A63"/>
    <w:rsid w:val="003D7238"/>
    <w:rsid w:val="003D7F9F"/>
    <w:rsid w:val="003E7DD4"/>
    <w:rsid w:val="00417965"/>
    <w:rsid w:val="00431AF7"/>
    <w:rsid w:val="00432A1A"/>
    <w:rsid w:val="004429B8"/>
    <w:rsid w:val="00460157"/>
    <w:rsid w:val="00462637"/>
    <w:rsid w:val="004711C5"/>
    <w:rsid w:val="00473891"/>
    <w:rsid w:val="004766B8"/>
    <w:rsid w:val="004767A9"/>
    <w:rsid w:val="00492281"/>
    <w:rsid w:val="004936B2"/>
    <w:rsid w:val="004943B6"/>
    <w:rsid w:val="00495F83"/>
    <w:rsid w:val="00496366"/>
    <w:rsid w:val="004A3E3D"/>
    <w:rsid w:val="004A646B"/>
    <w:rsid w:val="004A6767"/>
    <w:rsid w:val="004B47C9"/>
    <w:rsid w:val="004C1045"/>
    <w:rsid w:val="004C4587"/>
    <w:rsid w:val="004C5761"/>
    <w:rsid w:val="004D2997"/>
    <w:rsid w:val="004E180A"/>
    <w:rsid w:val="004E299B"/>
    <w:rsid w:val="004F00E8"/>
    <w:rsid w:val="00500499"/>
    <w:rsid w:val="00503E0F"/>
    <w:rsid w:val="0050725E"/>
    <w:rsid w:val="005110D9"/>
    <w:rsid w:val="005157BC"/>
    <w:rsid w:val="005162A7"/>
    <w:rsid w:val="00523D07"/>
    <w:rsid w:val="00524A77"/>
    <w:rsid w:val="00537E09"/>
    <w:rsid w:val="00542787"/>
    <w:rsid w:val="00542F8A"/>
    <w:rsid w:val="00546FC8"/>
    <w:rsid w:val="005526F7"/>
    <w:rsid w:val="00553231"/>
    <w:rsid w:val="00553B2B"/>
    <w:rsid w:val="00553DCC"/>
    <w:rsid w:val="005562D8"/>
    <w:rsid w:val="0055723A"/>
    <w:rsid w:val="00561D66"/>
    <w:rsid w:val="00566E89"/>
    <w:rsid w:val="00566F21"/>
    <w:rsid w:val="005708BD"/>
    <w:rsid w:val="00570957"/>
    <w:rsid w:val="005733BF"/>
    <w:rsid w:val="00580C37"/>
    <w:rsid w:val="005969DB"/>
    <w:rsid w:val="005A42AD"/>
    <w:rsid w:val="005B1390"/>
    <w:rsid w:val="005B244D"/>
    <w:rsid w:val="005B4EB0"/>
    <w:rsid w:val="005C2335"/>
    <w:rsid w:val="005F493E"/>
    <w:rsid w:val="005F7580"/>
    <w:rsid w:val="006001B4"/>
    <w:rsid w:val="006002DE"/>
    <w:rsid w:val="006055A0"/>
    <w:rsid w:val="00610CC7"/>
    <w:rsid w:val="0061330A"/>
    <w:rsid w:val="00613BBA"/>
    <w:rsid w:val="00625CC7"/>
    <w:rsid w:val="006262D1"/>
    <w:rsid w:val="00632539"/>
    <w:rsid w:val="00634BEC"/>
    <w:rsid w:val="00635CB0"/>
    <w:rsid w:val="006376F9"/>
    <w:rsid w:val="00643374"/>
    <w:rsid w:val="00645088"/>
    <w:rsid w:val="006527F2"/>
    <w:rsid w:val="0065291A"/>
    <w:rsid w:val="00652C38"/>
    <w:rsid w:val="00661C33"/>
    <w:rsid w:val="0066293A"/>
    <w:rsid w:val="0066564A"/>
    <w:rsid w:val="00665E65"/>
    <w:rsid w:val="006700C7"/>
    <w:rsid w:val="0067199F"/>
    <w:rsid w:val="00677081"/>
    <w:rsid w:val="00677947"/>
    <w:rsid w:val="00683BFD"/>
    <w:rsid w:val="00694585"/>
    <w:rsid w:val="006979DF"/>
    <w:rsid w:val="006A0EDC"/>
    <w:rsid w:val="006B3CE4"/>
    <w:rsid w:val="006B63A0"/>
    <w:rsid w:val="006C626F"/>
    <w:rsid w:val="006C6FE5"/>
    <w:rsid w:val="006D24A7"/>
    <w:rsid w:val="006D759A"/>
    <w:rsid w:val="006E561D"/>
    <w:rsid w:val="006F0AA4"/>
    <w:rsid w:val="006F60B3"/>
    <w:rsid w:val="006F62CE"/>
    <w:rsid w:val="006F640D"/>
    <w:rsid w:val="007076B9"/>
    <w:rsid w:val="00707CB2"/>
    <w:rsid w:val="007163E2"/>
    <w:rsid w:val="00723975"/>
    <w:rsid w:val="00723DEC"/>
    <w:rsid w:val="007241A8"/>
    <w:rsid w:val="00730A7C"/>
    <w:rsid w:val="00731376"/>
    <w:rsid w:val="00731F0F"/>
    <w:rsid w:val="00734E72"/>
    <w:rsid w:val="00736AC5"/>
    <w:rsid w:val="007531C9"/>
    <w:rsid w:val="00755300"/>
    <w:rsid w:val="0075637A"/>
    <w:rsid w:val="00756ABA"/>
    <w:rsid w:val="007603D5"/>
    <w:rsid w:val="007751D4"/>
    <w:rsid w:val="007761C2"/>
    <w:rsid w:val="00780F23"/>
    <w:rsid w:val="00784765"/>
    <w:rsid w:val="00790342"/>
    <w:rsid w:val="007A066F"/>
    <w:rsid w:val="007A1235"/>
    <w:rsid w:val="007A1EC5"/>
    <w:rsid w:val="007A277D"/>
    <w:rsid w:val="007B5625"/>
    <w:rsid w:val="007C1276"/>
    <w:rsid w:val="007C1CCB"/>
    <w:rsid w:val="007C2A5C"/>
    <w:rsid w:val="007D3D76"/>
    <w:rsid w:val="007D6451"/>
    <w:rsid w:val="007D6FC1"/>
    <w:rsid w:val="007D7AE4"/>
    <w:rsid w:val="007E1319"/>
    <w:rsid w:val="007E3BC5"/>
    <w:rsid w:val="007F22FC"/>
    <w:rsid w:val="007F71A9"/>
    <w:rsid w:val="00801660"/>
    <w:rsid w:val="00807A9B"/>
    <w:rsid w:val="008121BB"/>
    <w:rsid w:val="00812CCC"/>
    <w:rsid w:val="00813983"/>
    <w:rsid w:val="00814CEF"/>
    <w:rsid w:val="0081572A"/>
    <w:rsid w:val="00820559"/>
    <w:rsid w:val="00824C8A"/>
    <w:rsid w:val="00835CB3"/>
    <w:rsid w:val="008408F4"/>
    <w:rsid w:val="00843ACD"/>
    <w:rsid w:val="00843C57"/>
    <w:rsid w:val="008442AD"/>
    <w:rsid w:val="00852CC5"/>
    <w:rsid w:val="00863B04"/>
    <w:rsid w:val="00863C8B"/>
    <w:rsid w:val="00865FD6"/>
    <w:rsid w:val="00870EC7"/>
    <w:rsid w:val="008774FF"/>
    <w:rsid w:val="00883C04"/>
    <w:rsid w:val="00883F55"/>
    <w:rsid w:val="008855D9"/>
    <w:rsid w:val="00886DFC"/>
    <w:rsid w:val="0088741C"/>
    <w:rsid w:val="00890AEC"/>
    <w:rsid w:val="00894E1F"/>
    <w:rsid w:val="00895756"/>
    <w:rsid w:val="008A1A61"/>
    <w:rsid w:val="008A4DCB"/>
    <w:rsid w:val="008A527E"/>
    <w:rsid w:val="008B4E7F"/>
    <w:rsid w:val="008C7FBC"/>
    <w:rsid w:val="008D22D2"/>
    <w:rsid w:val="008E112C"/>
    <w:rsid w:val="008E1F77"/>
    <w:rsid w:val="008E3D2F"/>
    <w:rsid w:val="008F09FF"/>
    <w:rsid w:val="008F3AFD"/>
    <w:rsid w:val="008F6630"/>
    <w:rsid w:val="008F7DC8"/>
    <w:rsid w:val="00902637"/>
    <w:rsid w:val="00906D4C"/>
    <w:rsid w:val="00910A5F"/>
    <w:rsid w:val="00913B91"/>
    <w:rsid w:val="0092102E"/>
    <w:rsid w:val="0092303B"/>
    <w:rsid w:val="00923C2D"/>
    <w:rsid w:val="009252F3"/>
    <w:rsid w:val="00927491"/>
    <w:rsid w:val="00927FBF"/>
    <w:rsid w:val="009345EB"/>
    <w:rsid w:val="00934642"/>
    <w:rsid w:val="009376A4"/>
    <w:rsid w:val="00956C66"/>
    <w:rsid w:val="00957477"/>
    <w:rsid w:val="009574E9"/>
    <w:rsid w:val="0095769D"/>
    <w:rsid w:val="009625CE"/>
    <w:rsid w:val="00971994"/>
    <w:rsid w:val="00975C02"/>
    <w:rsid w:val="00977B45"/>
    <w:rsid w:val="0098044F"/>
    <w:rsid w:val="00992F5C"/>
    <w:rsid w:val="009A094F"/>
    <w:rsid w:val="009A34AC"/>
    <w:rsid w:val="009A7242"/>
    <w:rsid w:val="009B25A5"/>
    <w:rsid w:val="009C2AA5"/>
    <w:rsid w:val="009C6139"/>
    <w:rsid w:val="009E3AA7"/>
    <w:rsid w:val="009E4416"/>
    <w:rsid w:val="009E563C"/>
    <w:rsid w:val="009F3783"/>
    <w:rsid w:val="00A06E9C"/>
    <w:rsid w:val="00A102F9"/>
    <w:rsid w:val="00A12DFD"/>
    <w:rsid w:val="00A27CAD"/>
    <w:rsid w:val="00A312EA"/>
    <w:rsid w:val="00A44B02"/>
    <w:rsid w:val="00A46932"/>
    <w:rsid w:val="00A5077F"/>
    <w:rsid w:val="00A50CDC"/>
    <w:rsid w:val="00A50E28"/>
    <w:rsid w:val="00A5363C"/>
    <w:rsid w:val="00A559CD"/>
    <w:rsid w:val="00A55E4E"/>
    <w:rsid w:val="00A62EB9"/>
    <w:rsid w:val="00A65CC5"/>
    <w:rsid w:val="00A73B84"/>
    <w:rsid w:val="00A76EE4"/>
    <w:rsid w:val="00A81FF7"/>
    <w:rsid w:val="00A825BA"/>
    <w:rsid w:val="00A8416C"/>
    <w:rsid w:val="00A84E40"/>
    <w:rsid w:val="00A8524F"/>
    <w:rsid w:val="00A91BA9"/>
    <w:rsid w:val="00A92D29"/>
    <w:rsid w:val="00A936D2"/>
    <w:rsid w:val="00A9586D"/>
    <w:rsid w:val="00A970FA"/>
    <w:rsid w:val="00AA14A8"/>
    <w:rsid w:val="00AA3726"/>
    <w:rsid w:val="00AA6714"/>
    <w:rsid w:val="00AB2D9C"/>
    <w:rsid w:val="00AB7AB5"/>
    <w:rsid w:val="00AC5528"/>
    <w:rsid w:val="00AC61D6"/>
    <w:rsid w:val="00AC7648"/>
    <w:rsid w:val="00AC76ED"/>
    <w:rsid w:val="00AD15B7"/>
    <w:rsid w:val="00AD28C9"/>
    <w:rsid w:val="00AD5FDB"/>
    <w:rsid w:val="00AD6D05"/>
    <w:rsid w:val="00AE166B"/>
    <w:rsid w:val="00AE3F82"/>
    <w:rsid w:val="00AE7712"/>
    <w:rsid w:val="00AE7E05"/>
    <w:rsid w:val="00AF460E"/>
    <w:rsid w:val="00AF5209"/>
    <w:rsid w:val="00B070FD"/>
    <w:rsid w:val="00B24886"/>
    <w:rsid w:val="00B368F2"/>
    <w:rsid w:val="00B41B92"/>
    <w:rsid w:val="00B459F2"/>
    <w:rsid w:val="00B65770"/>
    <w:rsid w:val="00B713FB"/>
    <w:rsid w:val="00B77390"/>
    <w:rsid w:val="00B86872"/>
    <w:rsid w:val="00B87A8E"/>
    <w:rsid w:val="00B915A0"/>
    <w:rsid w:val="00B970C3"/>
    <w:rsid w:val="00BA01CC"/>
    <w:rsid w:val="00BA12B1"/>
    <w:rsid w:val="00BA675E"/>
    <w:rsid w:val="00BB7188"/>
    <w:rsid w:val="00BD0F12"/>
    <w:rsid w:val="00BF0F32"/>
    <w:rsid w:val="00BF1467"/>
    <w:rsid w:val="00C007DB"/>
    <w:rsid w:val="00C04B67"/>
    <w:rsid w:val="00C071BC"/>
    <w:rsid w:val="00C07A81"/>
    <w:rsid w:val="00C109E7"/>
    <w:rsid w:val="00C11F61"/>
    <w:rsid w:val="00C13C1A"/>
    <w:rsid w:val="00C14777"/>
    <w:rsid w:val="00C24534"/>
    <w:rsid w:val="00C26A71"/>
    <w:rsid w:val="00C3386E"/>
    <w:rsid w:val="00C33A1D"/>
    <w:rsid w:val="00C3467D"/>
    <w:rsid w:val="00C358F0"/>
    <w:rsid w:val="00C43F0C"/>
    <w:rsid w:val="00C51690"/>
    <w:rsid w:val="00C536BD"/>
    <w:rsid w:val="00C6097E"/>
    <w:rsid w:val="00C639B8"/>
    <w:rsid w:val="00C672D6"/>
    <w:rsid w:val="00C70FB2"/>
    <w:rsid w:val="00C765EC"/>
    <w:rsid w:val="00C82FAC"/>
    <w:rsid w:val="00C834CB"/>
    <w:rsid w:val="00C90DD7"/>
    <w:rsid w:val="00C93C15"/>
    <w:rsid w:val="00CA0F80"/>
    <w:rsid w:val="00CA6F50"/>
    <w:rsid w:val="00CA7C18"/>
    <w:rsid w:val="00CB430D"/>
    <w:rsid w:val="00CC6FEC"/>
    <w:rsid w:val="00CD70D1"/>
    <w:rsid w:val="00CE2E36"/>
    <w:rsid w:val="00CF1199"/>
    <w:rsid w:val="00CF280F"/>
    <w:rsid w:val="00CF5512"/>
    <w:rsid w:val="00D01DFB"/>
    <w:rsid w:val="00D05D7A"/>
    <w:rsid w:val="00D157F3"/>
    <w:rsid w:val="00D20007"/>
    <w:rsid w:val="00D248EF"/>
    <w:rsid w:val="00D277D1"/>
    <w:rsid w:val="00D407DD"/>
    <w:rsid w:val="00D47F57"/>
    <w:rsid w:val="00D564FD"/>
    <w:rsid w:val="00D60D5F"/>
    <w:rsid w:val="00D7624E"/>
    <w:rsid w:val="00D76E51"/>
    <w:rsid w:val="00D81E51"/>
    <w:rsid w:val="00D84520"/>
    <w:rsid w:val="00D876A9"/>
    <w:rsid w:val="00D926FE"/>
    <w:rsid w:val="00D936FE"/>
    <w:rsid w:val="00D94541"/>
    <w:rsid w:val="00D95767"/>
    <w:rsid w:val="00DA0183"/>
    <w:rsid w:val="00DA18E2"/>
    <w:rsid w:val="00DB363F"/>
    <w:rsid w:val="00DD269D"/>
    <w:rsid w:val="00DD3636"/>
    <w:rsid w:val="00DE343E"/>
    <w:rsid w:val="00DE58E1"/>
    <w:rsid w:val="00DF77B0"/>
    <w:rsid w:val="00E01532"/>
    <w:rsid w:val="00E04EBE"/>
    <w:rsid w:val="00E124CE"/>
    <w:rsid w:val="00E13C9F"/>
    <w:rsid w:val="00E22D6C"/>
    <w:rsid w:val="00E30CDE"/>
    <w:rsid w:val="00E3785F"/>
    <w:rsid w:val="00E41D9F"/>
    <w:rsid w:val="00E74415"/>
    <w:rsid w:val="00E76E26"/>
    <w:rsid w:val="00E77290"/>
    <w:rsid w:val="00E81F6C"/>
    <w:rsid w:val="00E82BE8"/>
    <w:rsid w:val="00E83FDB"/>
    <w:rsid w:val="00E85E9B"/>
    <w:rsid w:val="00E92227"/>
    <w:rsid w:val="00E95AB9"/>
    <w:rsid w:val="00EA7FCF"/>
    <w:rsid w:val="00EB234B"/>
    <w:rsid w:val="00EB54E1"/>
    <w:rsid w:val="00EB7829"/>
    <w:rsid w:val="00ED2005"/>
    <w:rsid w:val="00ED64AA"/>
    <w:rsid w:val="00EE2219"/>
    <w:rsid w:val="00EE6A6C"/>
    <w:rsid w:val="00EE6A9F"/>
    <w:rsid w:val="00EF03DF"/>
    <w:rsid w:val="00F112CC"/>
    <w:rsid w:val="00F171C7"/>
    <w:rsid w:val="00F22941"/>
    <w:rsid w:val="00F30175"/>
    <w:rsid w:val="00F35F4B"/>
    <w:rsid w:val="00F43F35"/>
    <w:rsid w:val="00F46BBC"/>
    <w:rsid w:val="00F50042"/>
    <w:rsid w:val="00F51AC6"/>
    <w:rsid w:val="00F56603"/>
    <w:rsid w:val="00F57691"/>
    <w:rsid w:val="00F647D2"/>
    <w:rsid w:val="00F6776D"/>
    <w:rsid w:val="00F83A01"/>
    <w:rsid w:val="00F84977"/>
    <w:rsid w:val="00F868E0"/>
    <w:rsid w:val="00F86D5B"/>
    <w:rsid w:val="00F90A7E"/>
    <w:rsid w:val="00F91C56"/>
    <w:rsid w:val="00FA1196"/>
    <w:rsid w:val="00FB2A13"/>
    <w:rsid w:val="00FB62D5"/>
    <w:rsid w:val="00FB6334"/>
    <w:rsid w:val="00FC5DCF"/>
    <w:rsid w:val="00FC7336"/>
    <w:rsid w:val="00FD2585"/>
    <w:rsid w:val="00FD70B2"/>
    <w:rsid w:val="00FD75F9"/>
    <w:rsid w:val="00FD7978"/>
    <w:rsid w:val="00FF1164"/>
    <w:rsid w:val="00FF3434"/>
    <w:rsid w:val="00FF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7425-1401-49B9-AE09-F88F0E21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6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3636"/>
    <w:pPr>
      <w:keepNext/>
      <w:jc w:val="center"/>
      <w:outlineLvl w:val="0"/>
    </w:pPr>
    <w:rPr>
      <w:b/>
      <w:sz w:val="32"/>
    </w:rPr>
  </w:style>
  <w:style w:type="paragraph" w:styleId="2">
    <w:name w:val="heading 2"/>
    <w:basedOn w:val="a"/>
    <w:next w:val="a"/>
    <w:link w:val="20"/>
    <w:qFormat/>
    <w:rsid w:val="00DD36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D3636"/>
    <w:pPr>
      <w:keepNext/>
      <w:spacing w:before="240" w:after="60"/>
      <w:outlineLvl w:val="2"/>
    </w:pPr>
    <w:rPr>
      <w:rFonts w:ascii="Arial" w:hAnsi="Arial" w:cs="Arial"/>
      <w:b/>
      <w:bCs/>
      <w:sz w:val="26"/>
      <w:szCs w:val="26"/>
    </w:rPr>
  </w:style>
  <w:style w:type="paragraph" w:styleId="4">
    <w:name w:val="heading 4"/>
    <w:basedOn w:val="a"/>
    <w:next w:val="a"/>
    <w:link w:val="40"/>
    <w:qFormat/>
    <w:rsid w:val="00DD3636"/>
    <w:pPr>
      <w:keepNext/>
      <w:spacing w:before="240" w:after="60"/>
      <w:outlineLvl w:val="3"/>
    </w:pPr>
    <w:rPr>
      <w:b/>
      <w:bCs/>
      <w:sz w:val="28"/>
      <w:szCs w:val="28"/>
    </w:rPr>
  </w:style>
  <w:style w:type="paragraph" w:styleId="5">
    <w:name w:val="heading 5"/>
    <w:basedOn w:val="a"/>
    <w:next w:val="a"/>
    <w:link w:val="50"/>
    <w:qFormat/>
    <w:rsid w:val="00DD363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636"/>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D3636"/>
    <w:rPr>
      <w:rFonts w:ascii="Arial" w:eastAsia="Times New Roman" w:hAnsi="Arial" w:cs="Arial"/>
      <w:b/>
      <w:bCs/>
      <w:i/>
      <w:iCs/>
      <w:sz w:val="28"/>
      <w:szCs w:val="28"/>
      <w:lang w:eastAsia="ru-RU"/>
    </w:rPr>
  </w:style>
  <w:style w:type="character" w:customStyle="1" w:styleId="30">
    <w:name w:val="Заголовок 3 Знак"/>
    <w:basedOn w:val="a0"/>
    <w:link w:val="3"/>
    <w:rsid w:val="00DD3636"/>
    <w:rPr>
      <w:rFonts w:ascii="Arial" w:eastAsia="Times New Roman" w:hAnsi="Arial" w:cs="Arial"/>
      <w:b/>
      <w:bCs/>
      <w:sz w:val="26"/>
      <w:szCs w:val="26"/>
      <w:lang w:eastAsia="ru-RU"/>
    </w:rPr>
  </w:style>
  <w:style w:type="character" w:customStyle="1" w:styleId="40">
    <w:name w:val="Заголовок 4 Знак"/>
    <w:basedOn w:val="a0"/>
    <w:link w:val="4"/>
    <w:rsid w:val="00DD363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D3636"/>
    <w:rPr>
      <w:rFonts w:ascii="Times New Roman" w:eastAsia="Times New Roman" w:hAnsi="Times New Roman" w:cs="Times New Roman"/>
      <w:b/>
      <w:bCs/>
      <w:i/>
      <w:iCs/>
      <w:sz w:val="26"/>
      <w:szCs w:val="26"/>
      <w:lang w:eastAsia="ru-RU"/>
    </w:rPr>
  </w:style>
  <w:style w:type="paragraph" w:styleId="a3">
    <w:name w:val="Body Text"/>
    <w:basedOn w:val="a"/>
    <w:link w:val="a4"/>
    <w:rsid w:val="00DD3636"/>
    <w:pPr>
      <w:jc w:val="center"/>
    </w:pPr>
    <w:rPr>
      <w:sz w:val="28"/>
    </w:rPr>
  </w:style>
  <w:style w:type="character" w:customStyle="1" w:styleId="a4">
    <w:name w:val="Основной текст Знак"/>
    <w:basedOn w:val="a0"/>
    <w:link w:val="a3"/>
    <w:rsid w:val="00DD3636"/>
    <w:rPr>
      <w:rFonts w:ascii="Times New Roman" w:eastAsia="Times New Roman" w:hAnsi="Times New Roman" w:cs="Times New Roman"/>
      <w:sz w:val="28"/>
      <w:szCs w:val="20"/>
      <w:lang w:eastAsia="ru-RU"/>
    </w:rPr>
  </w:style>
  <w:style w:type="paragraph" w:styleId="a5">
    <w:name w:val="Title"/>
    <w:basedOn w:val="a"/>
    <w:link w:val="a6"/>
    <w:qFormat/>
    <w:rsid w:val="00DD3636"/>
    <w:pPr>
      <w:jc w:val="center"/>
    </w:pPr>
    <w:rPr>
      <w:b/>
      <w:sz w:val="40"/>
    </w:rPr>
  </w:style>
  <w:style w:type="character" w:customStyle="1" w:styleId="a6">
    <w:name w:val="Название Знак"/>
    <w:basedOn w:val="a0"/>
    <w:link w:val="a5"/>
    <w:rsid w:val="00DD3636"/>
    <w:rPr>
      <w:rFonts w:ascii="Times New Roman" w:eastAsia="Times New Roman" w:hAnsi="Times New Roman" w:cs="Times New Roman"/>
      <w:b/>
      <w:sz w:val="40"/>
      <w:szCs w:val="20"/>
      <w:lang w:eastAsia="ru-RU"/>
    </w:rPr>
  </w:style>
  <w:style w:type="paragraph" w:styleId="31">
    <w:name w:val="Body Text Indent 3"/>
    <w:basedOn w:val="a"/>
    <w:link w:val="32"/>
    <w:rsid w:val="00DD3636"/>
    <w:pPr>
      <w:spacing w:after="120"/>
      <w:ind w:left="283"/>
    </w:pPr>
    <w:rPr>
      <w:sz w:val="16"/>
      <w:szCs w:val="16"/>
    </w:rPr>
  </w:style>
  <w:style w:type="character" w:customStyle="1" w:styleId="32">
    <w:name w:val="Основной текст с отступом 3 Знак"/>
    <w:basedOn w:val="a0"/>
    <w:link w:val="31"/>
    <w:rsid w:val="00DD3636"/>
    <w:rPr>
      <w:rFonts w:ascii="Times New Roman" w:eastAsia="Times New Roman" w:hAnsi="Times New Roman" w:cs="Times New Roman"/>
      <w:sz w:val="16"/>
      <w:szCs w:val="16"/>
      <w:lang w:eastAsia="ru-RU"/>
    </w:rPr>
  </w:style>
  <w:style w:type="paragraph" w:styleId="21">
    <w:name w:val="Body Text Indent 2"/>
    <w:basedOn w:val="a"/>
    <w:link w:val="22"/>
    <w:rsid w:val="00DD3636"/>
    <w:pPr>
      <w:spacing w:after="120" w:line="480" w:lineRule="auto"/>
      <w:ind w:left="283"/>
    </w:pPr>
  </w:style>
  <w:style w:type="character" w:customStyle="1" w:styleId="22">
    <w:name w:val="Основной текст с отступом 2 Знак"/>
    <w:basedOn w:val="a0"/>
    <w:link w:val="21"/>
    <w:rsid w:val="00DD3636"/>
    <w:rPr>
      <w:rFonts w:ascii="Times New Roman" w:eastAsia="Times New Roman" w:hAnsi="Times New Roman" w:cs="Times New Roman"/>
      <w:sz w:val="20"/>
      <w:szCs w:val="20"/>
      <w:lang w:eastAsia="ru-RU"/>
    </w:rPr>
  </w:style>
  <w:style w:type="paragraph" w:styleId="a7">
    <w:name w:val="Body Text Indent"/>
    <w:basedOn w:val="a"/>
    <w:link w:val="a8"/>
    <w:rsid w:val="00DD3636"/>
    <w:pPr>
      <w:spacing w:after="120"/>
      <w:ind w:left="283"/>
    </w:pPr>
  </w:style>
  <w:style w:type="character" w:customStyle="1" w:styleId="a8">
    <w:name w:val="Основной текст с отступом Знак"/>
    <w:basedOn w:val="a0"/>
    <w:link w:val="a7"/>
    <w:rsid w:val="00DD3636"/>
    <w:rPr>
      <w:rFonts w:ascii="Times New Roman" w:eastAsia="Times New Roman" w:hAnsi="Times New Roman" w:cs="Times New Roman"/>
      <w:sz w:val="20"/>
      <w:szCs w:val="20"/>
      <w:lang w:eastAsia="ru-RU"/>
    </w:rPr>
  </w:style>
  <w:style w:type="paragraph" w:customStyle="1" w:styleId="a9">
    <w:name w:val="Основной текст с отступом.Надин стиль"/>
    <w:basedOn w:val="a"/>
    <w:rsid w:val="00DD3636"/>
    <w:pPr>
      <w:tabs>
        <w:tab w:val="left" w:pos="10490"/>
      </w:tabs>
      <w:spacing w:after="120" w:line="360" w:lineRule="auto"/>
      <w:ind w:left="283" w:right="-1" w:firstLine="794"/>
      <w:jc w:val="both"/>
    </w:pPr>
    <w:rPr>
      <w:rFonts w:ascii="Courier New" w:hAnsi="Courier New"/>
      <w:sz w:val="28"/>
    </w:rPr>
  </w:style>
  <w:style w:type="paragraph" w:customStyle="1" w:styleId="aa">
    <w:name w:val="Документ"/>
    <w:basedOn w:val="a"/>
    <w:rsid w:val="00DD3636"/>
    <w:pPr>
      <w:spacing w:line="360" w:lineRule="auto"/>
      <w:ind w:firstLine="709"/>
      <w:jc w:val="both"/>
    </w:pPr>
    <w:rPr>
      <w:sz w:val="28"/>
    </w:rPr>
  </w:style>
  <w:style w:type="paragraph" w:customStyle="1" w:styleId="ab">
    <w:name w:val="Справка"/>
    <w:basedOn w:val="a"/>
    <w:autoRedefine/>
    <w:rsid w:val="00DD3636"/>
    <w:pPr>
      <w:widowControl w:val="0"/>
      <w:ind w:firstLine="709"/>
      <w:jc w:val="both"/>
    </w:pPr>
    <w:rPr>
      <w:sz w:val="28"/>
    </w:rPr>
  </w:style>
  <w:style w:type="paragraph" w:styleId="ac">
    <w:name w:val="header"/>
    <w:basedOn w:val="a"/>
    <w:link w:val="ad"/>
    <w:uiPriority w:val="99"/>
    <w:rsid w:val="00DD3636"/>
    <w:pPr>
      <w:tabs>
        <w:tab w:val="center" w:pos="4677"/>
        <w:tab w:val="right" w:pos="9355"/>
      </w:tabs>
    </w:pPr>
  </w:style>
  <w:style w:type="character" w:customStyle="1" w:styleId="ad">
    <w:name w:val="Верхний колонтитул Знак"/>
    <w:basedOn w:val="a0"/>
    <w:link w:val="ac"/>
    <w:uiPriority w:val="99"/>
    <w:rsid w:val="00DD3636"/>
    <w:rPr>
      <w:rFonts w:ascii="Times New Roman" w:eastAsia="Times New Roman" w:hAnsi="Times New Roman" w:cs="Times New Roman"/>
      <w:sz w:val="20"/>
      <w:szCs w:val="20"/>
      <w:lang w:eastAsia="ru-RU"/>
    </w:rPr>
  </w:style>
  <w:style w:type="character" w:styleId="ae">
    <w:name w:val="page number"/>
    <w:basedOn w:val="a0"/>
    <w:rsid w:val="00DD3636"/>
  </w:style>
  <w:style w:type="paragraph" w:styleId="af">
    <w:name w:val="footer"/>
    <w:basedOn w:val="a"/>
    <w:link w:val="af0"/>
    <w:rsid w:val="00DD3636"/>
    <w:pPr>
      <w:tabs>
        <w:tab w:val="center" w:pos="4677"/>
        <w:tab w:val="right" w:pos="9355"/>
      </w:tabs>
    </w:pPr>
  </w:style>
  <w:style w:type="character" w:customStyle="1" w:styleId="af0">
    <w:name w:val="Нижний колонтитул Знак"/>
    <w:basedOn w:val="a0"/>
    <w:link w:val="af"/>
    <w:rsid w:val="00DD3636"/>
    <w:rPr>
      <w:rFonts w:ascii="Times New Roman" w:eastAsia="Times New Roman" w:hAnsi="Times New Roman" w:cs="Times New Roman"/>
      <w:sz w:val="20"/>
      <w:szCs w:val="20"/>
      <w:lang w:eastAsia="ru-RU"/>
    </w:rPr>
  </w:style>
  <w:style w:type="paragraph" w:styleId="af1">
    <w:name w:val="footnote text"/>
    <w:basedOn w:val="a"/>
    <w:link w:val="af2"/>
    <w:uiPriority w:val="99"/>
    <w:semiHidden/>
    <w:rsid w:val="00DD3636"/>
  </w:style>
  <w:style w:type="character" w:customStyle="1" w:styleId="af2">
    <w:name w:val="Текст сноски Знак"/>
    <w:basedOn w:val="a0"/>
    <w:link w:val="af1"/>
    <w:uiPriority w:val="99"/>
    <w:semiHidden/>
    <w:rsid w:val="00DD3636"/>
    <w:rPr>
      <w:rFonts w:ascii="Times New Roman" w:eastAsia="Times New Roman" w:hAnsi="Times New Roman" w:cs="Times New Roman"/>
      <w:sz w:val="20"/>
      <w:szCs w:val="20"/>
      <w:lang w:eastAsia="ru-RU"/>
    </w:rPr>
  </w:style>
  <w:style w:type="character" w:styleId="af3">
    <w:name w:val="footnote reference"/>
    <w:aliases w:val="Знак сноски-FN,Ciae niinee-FN,Знак сноски 1"/>
    <w:basedOn w:val="a0"/>
    <w:uiPriority w:val="99"/>
    <w:rsid w:val="00DD3636"/>
    <w:rPr>
      <w:vertAlign w:val="superscript"/>
    </w:rPr>
  </w:style>
  <w:style w:type="paragraph" w:customStyle="1" w:styleId="ConsNormal">
    <w:name w:val="ConsNormal"/>
    <w:rsid w:val="00DD363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3">
    <w:name w:val="Body Text 2"/>
    <w:basedOn w:val="a"/>
    <w:link w:val="24"/>
    <w:rsid w:val="00DD3636"/>
    <w:pPr>
      <w:spacing w:after="120" w:line="480" w:lineRule="auto"/>
    </w:pPr>
  </w:style>
  <w:style w:type="character" w:customStyle="1" w:styleId="24">
    <w:name w:val="Основной текст 2 Знак"/>
    <w:basedOn w:val="a0"/>
    <w:link w:val="23"/>
    <w:rsid w:val="00DD363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D3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3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rmal (Web)"/>
    <w:basedOn w:val="a"/>
    <w:rsid w:val="00DD3636"/>
    <w:pPr>
      <w:spacing w:after="75"/>
    </w:pPr>
    <w:rPr>
      <w:rFonts w:ascii="Verdana" w:hAnsi="Verdana"/>
      <w:color w:val="000000"/>
      <w:sz w:val="18"/>
      <w:szCs w:val="18"/>
    </w:rPr>
  </w:style>
  <w:style w:type="paragraph" w:customStyle="1" w:styleId="pagettl">
    <w:name w:val="pagettl"/>
    <w:basedOn w:val="a"/>
    <w:rsid w:val="00DD3636"/>
    <w:pPr>
      <w:spacing w:before="150" w:after="60"/>
    </w:pPr>
    <w:rPr>
      <w:rFonts w:ascii="Verdana" w:hAnsi="Verdana"/>
      <w:b/>
      <w:bCs/>
      <w:color w:val="983F0C"/>
      <w:sz w:val="18"/>
      <w:szCs w:val="18"/>
    </w:rPr>
  </w:style>
  <w:style w:type="paragraph" w:customStyle="1" w:styleId="af5">
    <w:name w:val="Знак"/>
    <w:basedOn w:val="a"/>
    <w:autoRedefine/>
    <w:rsid w:val="00DD3636"/>
    <w:pPr>
      <w:spacing w:after="160" w:line="240" w:lineRule="exact"/>
    </w:pPr>
    <w:rPr>
      <w:rFonts w:eastAsia="SimSun"/>
      <w:b/>
      <w:sz w:val="28"/>
      <w:szCs w:val="24"/>
      <w:lang w:val="en-US" w:eastAsia="en-US"/>
    </w:rPr>
  </w:style>
  <w:style w:type="character" w:customStyle="1" w:styleId="FontStyle425">
    <w:name w:val="Font Style425"/>
    <w:basedOn w:val="a0"/>
    <w:rsid w:val="00DD3636"/>
    <w:rPr>
      <w:rFonts w:ascii="Times New Roman" w:hAnsi="Times New Roman" w:cs="Times New Roman"/>
      <w:sz w:val="22"/>
      <w:szCs w:val="22"/>
    </w:rPr>
  </w:style>
  <w:style w:type="paragraph" w:customStyle="1" w:styleId="af6">
    <w:name w:val="Знак Знак Знак Знак Знак Знак Знак"/>
    <w:basedOn w:val="a"/>
    <w:autoRedefine/>
    <w:rsid w:val="00DD3636"/>
    <w:pPr>
      <w:spacing w:line="240" w:lineRule="exact"/>
    </w:pPr>
    <w:rPr>
      <w:rFonts w:eastAsia="SimSun"/>
      <w:b/>
      <w:i/>
      <w:sz w:val="24"/>
      <w:szCs w:val="24"/>
      <w:lang w:val="en-US" w:eastAsia="en-US"/>
    </w:rPr>
  </w:style>
  <w:style w:type="paragraph" w:customStyle="1" w:styleId="11">
    <w:name w:val="Знак1"/>
    <w:basedOn w:val="a"/>
    <w:rsid w:val="00DD3636"/>
    <w:pPr>
      <w:spacing w:after="160" w:line="240" w:lineRule="exact"/>
    </w:pPr>
    <w:rPr>
      <w:rFonts w:ascii="Verdana" w:hAnsi="Verdana"/>
      <w:lang w:val="en-US" w:eastAsia="en-US"/>
    </w:rPr>
  </w:style>
  <w:style w:type="paragraph" w:customStyle="1" w:styleId="ConsPlusNormal">
    <w:name w:val="ConsPlusNormal"/>
    <w:link w:val="ConsPlusNormal0"/>
    <w:rsid w:val="00DD363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DD3636"/>
    <w:rPr>
      <w:rFonts w:ascii="Arial" w:eastAsia="Times New Roman" w:hAnsi="Arial" w:cs="Arial"/>
      <w:sz w:val="20"/>
      <w:szCs w:val="20"/>
      <w:lang w:eastAsia="ru-RU"/>
    </w:rPr>
  </w:style>
  <w:style w:type="character" w:customStyle="1" w:styleId="51">
    <w:name w:val="Основной текст (5)_"/>
    <w:basedOn w:val="a0"/>
    <w:link w:val="52"/>
    <w:rsid w:val="00DD3636"/>
    <w:rPr>
      <w:i/>
      <w:iCs/>
      <w:noProof/>
      <w:sz w:val="25"/>
      <w:szCs w:val="25"/>
      <w:shd w:val="clear" w:color="auto" w:fill="FFFFFF"/>
    </w:rPr>
  </w:style>
  <w:style w:type="paragraph" w:customStyle="1" w:styleId="52">
    <w:name w:val="Основной текст (5)"/>
    <w:basedOn w:val="a"/>
    <w:link w:val="51"/>
    <w:rsid w:val="00DD3636"/>
    <w:pPr>
      <w:shd w:val="clear" w:color="auto" w:fill="FFFFFF"/>
      <w:spacing w:after="60" w:line="240" w:lineRule="atLeast"/>
    </w:pPr>
    <w:rPr>
      <w:rFonts w:asciiTheme="minorHAnsi" w:eastAsiaTheme="minorHAnsi" w:hAnsiTheme="minorHAnsi" w:cstheme="minorBidi"/>
      <w:i/>
      <w:iCs/>
      <w:noProof/>
      <w:sz w:val="25"/>
      <w:szCs w:val="25"/>
      <w:lang w:eastAsia="en-US"/>
    </w:rPr>
  </w:style>
  <w:style w:type="character" w:customStyle="1" w:styleId="af7">
    <w:name w:val="Основной текст + Полужирный"/>
    <w:basedOn w:val="a0"/>
    <w:uiPriority w:val="99"/>
    <w:rsid w:val="00DD3636"/>
    <w:rPr>
      <w:rFonts w:ascii="Times New Roman" w:hAnsi="Times New Roman" w:cs="Times New Roman"/>
      <w:b/>
      <w:bCs/>
      <w:spacing w:val="0"/>
      <w:sz w:val="27"/>
      <w:szCs w:val="27"/>
    </w:rPr>
  </w:style>
  <w:style w:type="paragraph" w:customStyle="1" w:styleId="12">
    <w:name w:val="Обычный1"/>
    <w:rsid w:val="00DD3636"/>
    <w:pPr>
      <w:spacing w:after="0" w:line="240" w:lineRule="auto"/>
    </w:pPr>
    <w:rPr>
      <w:rFonts w:ascii="Times New Roman" w:eastAsia="Times New Roman" w:hAnsi="Times New Roman" w:cs="Times New Roman"/>
      <w:sz w:val="20"/>
      <w:szCs w:val="20"/>
      <w:lang w:eastAsia="ru-RU"/>
    </w:rPr>
  </w:style>
  <w:style w:type="character" w:customStyle="1" w:styleId="af8">
    <w:name w:val="*АБЗАЦ.БЕЗ ОТСТУПОВ Знак"/>
    <w:basedOn w:val="a0"/>
    <w:link w:val="af9"/>
    <w:locked/>
    <w:rsid w:val="00DD3636"/>
    <w:rPr>
      <w:sz w:val="28"/>
    </w:rPr>
  </w:style>
  <w:style w:type="paragraph" w:customStyle="1" w:styleId="af9">
    <w:name w:val="*АБЗАЦ.БЕЗ ОТСТУПОВ"/>
    <w:link w:val="af8"/>
    <w:qFormat/>
    <w:rsid w:val="00DD3636"/>
    <w:pPr>
      <w:spacing w:after="0" w:line="240" w:lineRule="auto"/>
      <w:ind w:firstLine="709"/>
      <w:jc w:val="both"/>
    </w:pPr>
    <w:rPr>
      <w:sz w:val="28"/>
    </w:rPr>
  </w:style>
  <w:style w:type="character" w:customStyle="1" w:styleId="afa">
    <w:name w:val="*ТЕКСТ.КУРСИВ"/>
    <w:qFormat/>
    <w:rsid w:val="00DD3636"/>
    <w:rPr>
      <w:i/>
      <w:iCs w:val="0"/>
    </w:rPr>
  </w:style>
  <w:style w:type="character" w:customStyle="1" w:styleId="afb">
    <w:name w:val="Текст выноски Знак"/>
    <w:basedOn w:val="a0"/>
    <w:link w:val="afc"/>
    <w:semiHidden/>
    <w:rsid w:val="00DD3636"/>
    <w:rPr>
      <w:rFonts w:ascii="Tahoma" w:eastAsia="Times New Roman" w:hAnsi="Tahoma" w:cs="Tahoma"/>
      <w:sz w:val="16"/>
      <w:szCs w:val="16"/>
      <w:lang w:eastAsia="ru-RU"/>
    </w:rPr>
  </w:style>
  <w:style w:type="paragraph" w:styleId="afc">
    <w:name w:val="Balloon Text"/>
    <w:basedOn w:val="a"/>
    <w:link w:val="afb"/>
    <w:semiHidden/>
    <w:unhideWhenUsed/>
    <w:rsid w:val="00DD3636"/>
    <w:rPr>
      <w:rFonts w:ascii="Tahoma" w:hAnsi="Tahoma" w:cs="Tahoma"/>
      <w:sz w:val="16"/>
      <w:szCs w:val="16"/>
    </w:rPr>
  </w:style>
  <w:style w:type="paragraph" w:styleId="afd">
    <w:name w:val="Plain Text"/>
    <w:basedOn w:val="a"/>
    <w:link w:val="afe"/>
    <w:rsid w:val="00DD3636"/>
    <w:rPr>
      <w:rFonts w:ascii="Courier New" w:hAnsi="Courier New" w:cs="Courier New"/>
    </w:rPr>
  </w:style>
  <w:style w:type="character" w:customStyle="1" w:styleId="afe">
    <w:name w:val="Текст Знак"/>
    <w:basedOn w:val="a0"/>
    <w:link w:val="afd"/>
    <w:rsid w:val="00DD3636"/>
    <w:rPr>
      <w:rFonts w:ascii="Courier New" w:eastAsia="Times New Roman" w:hAnsi="Courier New" w:cs="Courier New"/>
      <w:sz w:val="20"/>
      <w:szCs w:val="20"/>
      <w:lang w:eastAsia="ru-RU"/>
    </w:rPr>
  </w:style>
  <w:style w:type="paragraph" w:styleId="aff">
    <w:name w:val="List Paragraph"/>
    <w:basedOn w:val="a"/>
    <w:uiPriority w:val="99"/>
    <w:qFormat/>
    <w:rsid w:val="00DD3636"/>
    <w:pPr>
      <w:ind w:left="720"/>
      <w:contextualSpacing/>
    </w:pPr>
  </w:style>
  <w:style w:type="paragraph" w:customStyle="1" w:styleId="aff0">
    <w:name w:val="*ТЕКСТ С ИНТЕРВ. ПОСЛЕ*"/>
    <w:basedOn w:val="a"/>
    <w:next w:val="a"/>
    <w:link w:val="aff1"/>
    <w:uiPriority w:val="99"/>
    <w:qFormat/>
    <w:rsid w:val="00DD3636"/>
    <w:pPr>
      <w:spacing w:after="120"/>
      <w:ind w:firstLine="709"/>
      <w:jc w:val="both"/>
    </w:pPr>
    <w:rPr>
      <w:sz w:val="28"/>
      <w:szCs w:val="28"/>
    </w:rPr>
  </w:style>
  <w:style w:type="character" w:customStyle="1" w:styleId="aff1">
    <w:name w:val="*ТЕКСТ С ИНТЕРВ. ПОСЛЕ* Знак"/>
    <w:basedOn w:val="a0"/>
    <w:link w:val="aff0"/>
    <w:uiPriority w:val="99"/>
    <w:rsid w:val="00DD3636"/>
    <w:rPr>
      <w:rFonts w:ascii="Times New Roman" w:eastAsia="Times New Roman" w:hAnsi="Times New Roman" w:cs="Times New Roman"/>
      <w:sz w:val="28"/>
      <w:szCs w:val="28"/>
      <w:lang w:eastAsia="ru-RU"/>
    </w:rPr>
  </w:style>
  <w:style w:type="paragraph" w:customStyle="1" w:styleId="aff2">
    <w:name w:val="*ТЕКСТ*"/>
    <w:link w:val="aff3"/>
    <w:qFormat/>
    <w:rsid w:val="00DD363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3">
    <w:name w:val="*ТЕКСТ* Знак"/>
    <w:basedOn w:val="a0"/>
    <w:link w:val="aff2"/>
    <w:rsid w:val="00DD3636"/>
    <w:rPr>
      <w:rFonts w:ascii="Times New Roman" w:eastAsia="Times New Roman" w:hAnsi="Times New Roman" w:cs="Times New Roman"/>
      <w:sz w:val="28"/>
      <w:szCs w:val="28"/>
      <w:lang w:eastAsia="ru-RU"/>
    </w:rPr>
  </w:style>
  <w:style w:type="paragraph" w:customStyle="1" w:styleId="ConsPlusTitle">
    <w:name w:val="ConsPlusTitle"/>
    <w:uiPriority w:val="99"/>
    <w:rsid w:val="00DD3636"/>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ff4">
    <w:name w:val="*РАЗДЕЛ* Знак"/>
    <w:basedOn w:val="a0"/>
    <w:link w:val="aff5"/>
    <w:locked/>
    <w:rsid w:val="00DD3636"/>
    <w:rPr>
      <w:rFonts w:ascii="Times New Roman" w:hAnsi="Times New Roman"/>
      <w:b/>
      <w:sz w:val="28"/>
    </w:rPr>
  </w:style>
  <w:style w:type="paragraph" w:customStyle="1" w:styleId="aff5">
    <w:name w:val="*РАЗДЕЛ*"/>
    <w:next w:val="a"/>
    <w:link w:val="aff4"/>
    <w:qFormat/>
    <w:rsid w:val="00DD3636"/>
    <w:pPr>
      <w:keepNext/>
      <w:keepLines/>
      <w:suppressAutoHyphens/>
      <w:spacing w:before="240" w:after="120" w:line="240" w:lineRule="auto"/>
      <w:contextualSpacing/>
      <w:jc w:val="center"/>
    </w:pPr>
    <w:rPr>
      <w:rFonts w:ascii="Times New Roman" w:hAnsi="Times New Roman"/>
      <w:b/>
      <w:sz w:val="28"/>
    </w:rPr>
  </w:style>
  <w:style w:type="table" w:styleId="aff6">
    <w:name w:val="Table Grid"/>
    <w:basedOn w:val="a1"/>
    <w:uiPriority w:val="59"/>
    <w:rsid w:val="0076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F6630"/>
    <w:pPr>
      <w:widowControl w:val="0"/>
      <w:autoSpaceDE w:val="0"/>
      <w:autoSpaceDN w:val="0"/>
      <w:adjustRightInd w:val="0"/>
    </w:pPr>
    <w:rPr>
      <w:sz w:val="24"/>
      <w:szCs w:val="24"/>
    </w:rPr>
  </w:style>
  <w:style w:type="character" w:styleId="aff7">
    <w:name w:val="annotation reference"/>
    <w:basedOn w:val="a0"/>
    <w:uiPriority w:val="99"/>
    <w:semiHidden/>
    <w:unhideWhenUsed/>
    <w:rsid w:val="004C1045"/>
    <w:rPr>
      <w:sz w:val="16"/>
      <w:szCs w:val="16"/>
    </w:rPr>
  </w:style>
  <w:style w:type="paragraph" w:styleId="aff8">
    <w:name w:val="annotation text"/>
    <w:basedOn w:val="a"/>
    <w:link w:val="aff9"/>
    <w:uiPriority w:val="99"/>
    <w:semiHidden/>
    <w:unhideWhenUsed/>
    <w:rsid w:val="004C1045"/>
  </w:style>
  <w:style w:type="character" w:customStyle="1" w:styleId="aff9">
    <w:name w:val="Текст примечания Знак"/>
    <w:basedOn w:val="a0"/>
    <w:link w:val="aff8"/>
    <w:uiPriority w:val="99"/>
    <w:semiHidden/>
    <w:rsid w:val="004C1045"/>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4C1045"/>
    <w:rPr>
      <w:b/>
      <w:bCs/>
    </w:rPr>
  </w:style>
  <w:style w:type="character" w:customStyle="1" w:styleId="affb">
    <w:name w:val="Тема примечания Знак"/>
    <w:basedOn w:val="aff9"/>
    <w:link w:val="affa"/>
    <w:uiPriority w:val="99"/>
    <w:semiHidden/>
    <w:rsid w:val="004C1045"/>
    <w:rPr>
      <w:rFonts w:ascii="Times New Roman" w:eastAsia="Times New Roman" w:hAnsi="Times New Roman" w:cs="Times New Roman"/>
      <w:b/>
      <w:bCs/>
      <w:sz w:val="20"/>
      <w:szCs w:val="20"/>
      <w:lang w:eastAsia="ru-RU"/>
    </w:rPr>
  </w:style>
  <w:style w:type="character" w:styleId="affc">
    <w:name w:val="Hyperlink"/>
    <w:basedOn w:val="a0"/>
    <w:uiPriority w:val="99"/>
    <w:semiHidden/>
    <w:unhideWhenUsed/>
    <w:rsid w:val="00D20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881">
      <w:bodyDiv w:val="1"/>
      <w:marLeft w:val="0"/>
      <w:marRight w:val="0"/>
      <w:marTop w:val="0"/>
      <w:marBottom w:val="0"/>
      <w:divBdr>
        <w:top w:val="none" w:sz="0" w:space="0" w:color="auto"/>
        <w:left w:val="none" w:sz="0" w:space="0" w:color="auto"/>
        <w:bottom w:val="none" w:sz="0" w:space="0" w:color="auto"/>
        <w:right w:val="none" w:sz="0" w:space="0" w:color="auto"/>
      </w:divBdr>
    </w:div>
    <w:div w:id="236062031">
      <w:bodyDiv w:val="1"/>
      <w:marLeft w:val="0"/>
      <w:marRight w:val="0"/>
      <w:marTop w:val="0"/>
      <w:marBottom w:val="0"/>
      <w:divBdr>
        <w:top w:val="none" w:sz="0" w:space="0" w:color="auto"/>
        <w:left w:val="none" w:sz="0" w:space="0" w:color="auto"/>
        <w:bottom w:val="none" w:sz="0" w:space="0" w:color="auto"/>
        <w:right w:val="none" w:sz="0" w:space="0" w:color="auto"/>
      </w:divBdr>
    </w:div>
    <w:div w:id="356273649">
      <w:bodyDiv w:val="1"/>
      <w:marLeft w:val="0"/>
      <w:marRight w:val="0"/>
      <w:marTop w:val="0"/>
      <w:marBottom w:val="0"/>
      <w:divBdr>
        <w:top w:val="none" w:sz="0" w:space="0" w:color="auto"/>
        <w:left w:val="none" w:sz="0" w:space="0" w:color="auto"/>
        <w:bottom w:val="none" w:sz="0" w:space="0" w:color="auto"/>
        <w:right w:val="none" w:sz="0" w:space="0" w:color="auto"/>
      </w:divBdr>
    </w:div>
    <w:div w:id="559446092">
      <w:bodyDiv w:val="1"/>
      <w:marLeft w:val="0"/>
      <w:marRight w:val="0"/>
      <w:marTop w:val="0"/>
      <w:marBottom w:val="0"/>
      <w:divBdr>
        <w:top w:val="none" w:sz="0" w:space="0" w:color="auto"/>
        <w:left w:val="none" w:sz="0" w:space="0" w:color="auto"/>
        <w:bottom w:val="none" w:sz="0" w:space="0" w:color="auto"/>
        <w:right w:val="none" w:sz="0" w:space="0" w:color="auto"/>
      </w:divBdr>
    </w:div>
    <w:div w:id="825587639">
      <w:bodyDiv w:val="1"/>
      <w:marLeft w:val="0"/>
      <w:marRight w:val="0"/>
      <w:marTop w:val="0"/>
      <w:marBottom w:val="0"/>
      <w:divBdr>
        <w:top w:val="none" w:sz="0" w:space="0" w:color="auto"/>
        <w:left w:val="none" w:sz="0" w:space="0" w:color="auto"/>
        <w:bottom w:val="none" w:sz="0" w:space="0" w:color="auto"/>
        <w:right w:val="none" w:sz="0" w:space="0" w:color="auto"/>
      </w:divBdr>
    </w:div>
    <w:div w:id="881941981">
      <w:bodyDiv w:val="1"/>
      <w:marLeft w:val="0"/>
      <w:marRight w:val="0"/>
      <w:marTop w:val="0"/>
      <w:marBottom w:val="0"/>
      <w:divBdr>
        <w:top w:val="none" w:sz="0" w:space="0" w:color="auto"/>
        <w:left w:val="none" w:sz="0" w:space="0" w:color="auto"/>
        <w:bottom w:val="none" w:sz="0" w:space="0" w:color="auto"/>
        <w:right w:val="none" w:sz="0" w:space="0" w:color="auto"/>
      </w:divBdr>
    </w:div>
    <w:div w:id="917708200">
      <w:bodyDiv w:val="1"/>
      <w:marLeft w:val="0"/>
      <w:marRight w:val="0"/>
      <w:marTop w:val="0"/>
      <w:marBottom w:val="0"/>
      <w:divBdr>
        <w:top w:val="none" w:sz="0" w:space="0" w:color="auto"/>
        <w:left w:val="none" w:sz="0" w:space="0" w:color="auto"/>
        <w:bottom w:val="none" w:sz="0" w:space="0" w:color="auto"/>
        <w:right w:val="none" w:sz="0" w:space="0" w:color="auto"/>
      </w:divBdr>
    </w:div>
    <w:div w:id="1218275686">
      <w:bodyDiv w:val="1"/>
      <w:marLeft w:val="0"/>
      <w:marRight w:val="0"/>
      <w:marTop w:val="0"/>
      <w:marBottom w:val="0"/>
      <w:divBdr>
        <w:top w:val="none" w:sz="0" w:space="0" w:color="auto"/>
        <w:left w:val="none" w:sz="0" w:space="0" w:color="auto"/>
        <w:bottom w:val="none" w:sz="0" w:space="0" w:color="auto"/>
        <w:right w:val="none" w:sz="0" w:space="0" w:color="auto"/>
      </w:divBdr>
    </w:div>
    <w:div w:id="1412704480">
      <w:bodyDiv w:val="1"/>
      <w:marLeft w:val="0"/>
      <w:marRight w:val="0"/>
      <w:marTop w:val="0"/>
      <w:marBottom w:val="0"/>
      <w:divBdr>
        <w:top w:val="none" w:sz="0" w:space="0" w:color="auto"/>
        <w:left w:val="none" w:sz="0" w:space="0" w:color="auto"/>
        <w:bottom w:val="none" w:sz="0" w:space="0" w:color="auto"/>
        <w:right w:val="none" w:sz="0" w:space="0" w:color="auto"/>
      </w:divBdr>
    </w:div>
    <w:div w:id="1480196436">
      <w:bodyDiv w:val="1"/>
      <w:marLeft w:val="0"/>
      <w:marRight w:val="0"/>
      <w:marTop w:val="0"/>
      <w:marBottom w:val="0"/>
      <w:divBdr>
        <w:top w:val="none" w:sz="0" w:space="0" w:color="auto"/>
        <w:left w:val="none" w:sz="0" w:space="0" w:color="auto"/>
        <w:bottom w:val="none" w:sz="0" w:space="0" w:color="auto"/>
        <w:right w:val="none" w:sz="0" w:space="0" w:color="auto"/>
      </w:divBdr>
    </w:div>
    <w:div w:id="1495682155">
      <w:bodyDiv w:val="1"/>
      <w:marLeft w:val="0"/>
      <w:marRight w:val="0"/>
      <w:marTop w:val="0"/>
      <w:marBottom w:val="0"/>
      <w:divBdr>
        <w:top w:val="none" w:sz="0" w:space="0" w:color="auto"/>
        <w:left w:val="none" w:sz="0" w:space="0" w:color="auto"/>
        <w:bottom w:val="none" w:sz="0" w:space="0" w:color="auto"/>
        <w:right w:val="none" w:sz="0" w:space="0" w:color="auto"/>
      </w:divBdr>
    </w:div>
    <w:div w:id="1645161528">
      <w:bodyDiv w:val="1"/>
      <w:marLeft w:val="0"/>
      <w:marRight w:val="0"/>
      <w:marTop w:val="0"/>
      <w:marBottom w:val="0"/>
      <w:divBdr>
        <w:top w:val="none" w:sz="0" w:space="0" w:color="auto"/>
        <w:left w:val="none" w:sz="0" w:space="0" w:color="auto"/>
        <w:bottom w:val="none" w:sz="0" w:space="0" w:color="auto"/>
        <w:right w:val="none" w:sz="0" w:space="0" w:color="auto"/>
      </w:divBdr>
    </w:div>
    <w:div w:id="1763408718">
      <w:bodyDiv w:val="1"/>
      <w:marLeft w:val="0"/>
      <w:marRight w:val="0"/>
      <w:marTop w:val="0"/>
      <w:marBottom w:val="0"/>
      <w:divBdr>
        <w:top w:val="none" w:sz="0" w:space="0" w:color="auto"/>
        <w:left w:val="none" w:sz="0" w:space="0" w:color="auto"/>
        <w:bottom w:val="none" w:sz="0" w:space="0" w:color="auto"/>
        <w:right w:val="none" w:sz="0" w:space="0" w:color="auto"/>
      </w:divBdr>
    </w:div>
    <w:div w:id="1910462064">
      <w:bodyDiv w:val="1"/>
      <w:marLeft w:val="0"/>
      <w:marRight w:val="0"/>
      <w:marTop w:val="0"/>
      <w:marBottom w:val="0"/>
      <w:divBdr>
        <w:top w:val="none" w:sz="0" w:space="0" w:color="auto"/>
        <w:left w:val="none" w:sz="0" w:space="0" w:color="auto"/>
        <w:bottom w:val="none" w:sz="0" w:space="0" w:color="auto"/>
        <w:right w:val="none" w:sz="0" w:space="0" w:color="auto"/>
      </w:divBdr>
    </w:div>
    <w:div w:id="1984187752">
      <w:bodyDiv w:val="1"/>
      <w:marLeft w:val="0"/>
      <w:marRight w:val="0"/>
      <w:marTop w:val="0"/>
      <w:marBottom w:val="0"/>
      <w:divBdr>
        <w:top w:val="none" w:sz="0" w:space="0" w:color="auto"/>
        <w:left w:val="none" w:sz="0" w:space="0" w:color="auto"/>
        <w:bottom w:val="none" w:sz="0" w:space="0" w:color="auto"/>
        <w:right w:val="none" w:sz="0" w:space="0" w:color="auto"/>
      </w:divBdr>
    </w:div>
    <w:div w:id="2115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154D-9341-4582-A2DC-CF047661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Галина Рустемовна</dc:creator>
  <cp:keywords/>
  <dc:description/>
  <cp:lastModifiedBy>Гремякова Ольга Петровна</cp:lastModifiedBy>
  <cp:revision>2</cp:revision>
  <cp:lastPrinted>2016-08-10T13:07:00Z</cp:lastPrinted>
  <dcterms:created xsi:type="dcterms:W3CDTF">2016-08-15T06:32:00Z</dcterms:created>
  <dcterms:modified xsi:type="dcterms:W3CDTF">2016-08-15T06:32:00Z</dcterms:modified>
</cp:coreProperties>
</file>